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0C" w:rsidRDefault="0056310C" w:rsidP="0056310C">
      <w:pPr>
        <w:spacing w:line="360" w:lineRule="auto"/>
        <w:ind w:left="2880"/>
        <w:rPr>
          <w:rFonts w:ascii="Arial" w:hAnsi="Arial" w:cs="Tahoma"/>
          <w:bCs/>
          <w:color w:val="548DD4"/>
          <w:rtl/>
        </w:rPr>
      </w:pPr>
      <w:r w:rsidRPr="0056310C">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56310C" w:rsidRDefault="0056310C" w:rsidP="007661B5">
      <w:pPr>
        <w:spacing w:line="360" w:lineRule="auto"/>
        <w:ind w:left="5040"/>
        <w:rPr>
          <w:rFonts w:ascii="Arial" w:hAnsi="Arial" w:cs="Tahoma"/>
          <w:bCs/>
          <w:color w:val="548DD4"/>
          <w:rtl/>
        </w:rPr>
      </w:pPr>
    </w:p>
    <w:p w:rsidR="00587EEB" w:rsidRPr="0056310C" w:rsidRDefault="007F67F0" w:rsidP="0056310C">
      <w:pPr>
        <w:spacing w:line="360" w:lineRule="auto"/>
        <w:ind w:left="5040"/>
        <w:jc w:val="right"/>
        <w:rPr>
          <w:rFonts w:ascii="Arial" w:hAnsi="Arial" w:cs="Tahoma"/>
          <w:bCs/>
          <w:color w:val="548DD4"/>
          <w:rtl/>
        </w:rPr>
      </w:pPr>
      <w:r>
        <w:rPr>
          <w:rFonts w:ascii="Arial" w:hAnsi="Arial" w:cs="Tahoma" w:hint="cs"/>
          <w:bCs/>
          <w:color w:val="548DD4"/>
          <w:rtl/>
        </w:rPr>
        <w:t>10.9.20</w:t>
      </w:r>
    </w:p>
    <w:p w:rsidR="007661B5" w:rsidRPr="007661B5" w:rsidRDefault="00DD686B" w:rsidP="00A574F6">
      <w:pPr>
        <w:spacing w:line="360" w:lineRule="auto"/>
        <w:jc w:val="center"/>
        <w:outlineLvl w:val="0"/>
        <w:rPr>
          <w:rFonts w:ascii="Arial" w:hAnsi="Arial" w:cs="Tahoma"/>
          <w:bCs/>
          <w:color w:val="5B9BD5" w:themeColor="accent1"/>
          <w:sz w:val="32"/>
          <w:szCs w:val="32"/>
          <w:rtl/>
        </w:rPr>
      </w:pPr>
      <w:r w:rsidRPr="007661B5">
        <w:rPr>
          <w:rFonts w:ascii="Arial" w:hAnsi="Arial" w:cs="Tahoma"/>
          <w:bCs/>
          <w:color w:val="5B9BD5" w:themeColor="accent1"/>
          <w:sz w:val="36"/>
          <w:szCs w:val="36"/>
          <w:rtl/>
        </w:rPr>
        <w:t xml:space="preserve">שם ומספר הקורס:  </w:t>
      </w:r>
      <w:r w:rsidR="007661B5" w:rsidRPr="007661B5">
        <w:rPr>
          <w:rFonts w:ascii="Arial" w:hAnsi="Arial" w:cs="Tahoma" w:hint="cs"/>
          <w:bCs/>
          <w:color w:val="5B9BD5" w:themeColor="accent1"/>
          <w:sz w:val="32"/>
          <w:szCs w:val="32"/>
          <w:rtl/>
        </w:rPr>
        <w:t>מ</w:t>
      </w:r>
      <w:r w:rsidR="00A574F6">
        <w:rPr>
          <w:rFonts w:ascii="Arial" w:hAnsi="Arial" w:cs="Tahoma" w:hint="cs"/>
          <w:bCs/>
          <w:color w:val="5B9BD5" w:themeColor="accent1"/>
          <w:sz w:val="32"/>
          <w:szCs w:val="32"/>
          <w:rtl/>
        </w:rPr>
        <w:t xml:space="preserve">שנה </w:t>
      </w:r>
      <w:proofErr w:type="spellStart"/>
      <w:r w:rsidR="00A574F6">
        <w:rPr>
          <w:rFonts w:ascii="Arial" w:hAnsi="Arial" w:cs="Tahoma" w:hint="cs"/>
          <w:bCs/>
          <w:color w:val="5B9BD5" w:themeColor="accent1"/>
          <w:sz w:val="32"/>
          <w:szCs w:val="32"/>
          <w:rtl/>
        </w:rPr>
        <w:t>ותוספתא</w:t>
      </w:r>
      <w:proofErr w:type="spellEnd"/>
      <w:r w:rsidR="00A574F6">
        <w:rPr>
          <w:rFonts w:ascii="Arial" w:hAnsi="Arial" w:cs="Tahoma" w:hint="cs"/>
          <w:bCs/>
          <w:color w:val="5B9BD5" w:themeColor="accent1"/>
          <w:sz w:val="32"/>
          <w:szCs w:val="32"/>
          <w:rtl/>
        </w:rPr>
        <w:t xml:space="preserve"> ברכות</w:t>
      </w:r>
    </w:p>
    <w:p w:rsidR="00DD686B" w:rsidRPr="007661B5" w:rsidRDefault="007661B5" w:rsidP="00A574F6">
      <w:pPr>
        <w:spacing w:line="360" w:lineRule="auto"/>
        <w:jc w:val="center"/>
        <w:outlineLvl w:val="0"/>
        <w:rPr>
          <w:rFonts w:ascii="Arial" w:hAnsi="Arial" w:cs="Tahoma"/>
          <w:bCs/>
          <w:color w:val="5B9BD5" w:themeColor="accent1"/>
          <w:sz w:val="32"/>
          <w:szCs w:val="32"/>
          <w:rtl/>
        </w:rPr>
      </w:pPr>
      <w:r w:rsidRPr="007661B5">
        <w:rPr>
          <w:rFonts w:ascii="Arial" w:hAnsi="Arial" w:cs="Tahoma" w:hint="cs"/>
          <w:bCs/>
          <w:color w:val="5B9BD5" w:themeColor="accent1"/>
          <w:sz w:val="32"/>
          <w:szCs w:val="32"/>
          <w:rtl/>
        </w:rPr>
        <w:t>10-</w:t>
      </w:r>
      <w:r w:rsidR="00A574F6">
        <w:rPr>
          <w:rFonts w:ascii="Arial" w:hAnsi="Arial" w:cs="Tahoma" w:hint="cs"/>
          <w:bCs/>
          <w:color w:val="5B9BD5" w:themeColor="accent1"/>
          <w:sz w:val="32"/>
          <w:szCs w:val="32"/>
          <w:rtl/>
        </w:rPr>
        <w:t>031</w:t>
      </w:r>
      <w:r w:rsidRPr="007661B5">
        <w:rPr>
          <w:rFonts w:ascii="Arial" w:hAnsi="Arial" w:cs="Tahoma" w:hint="cs"/>
          <w:bCs/>
          <w:color w:val="5B9BD5" w:themeColor="accent1"/>
          <w:sz w:val="32"/>
          <w:szCs w:val="32"/>
          <w:rtl/>
        </w:rPr>
        <w:t>-01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56310C">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w:t>
      </w:r>
      <w:r w:rsidR="0056310C">
        <w:rPr>
          <w:rFonts w:ascii="Arial" w:hAnsi="Arial" w:cs="Arial" w:hint="cs"/>
          <w:b/>
          <w:bCs/>
          <w:color w:val="548DD4"/>
          <w:rtl/>
        </w:rPr>
        <w:t>הרצאה</w:t>
      </w:r>
    </w:p>
    <w:p w:rsidR="00DD686B" w:rsidRPr="003C070F" w:rsidRDefault="00DD686B" w:rsidP="007F556A">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A574F6">
        <w:rPr>
          <w:rFonts w:ascii="Arial" w:hAnsi="Arial" w:cs="Arial" w:hint="cs"/>
          <w:color w:val="548DD4"/>
          <w:rtl/>
        </w:rPr>
        <w:t>א</w:t>
      </w:r>
      <w:r w:rsidR="0056310C">
        <w:rPr>
          <w:rFonts w:ascii="Arial" w:hAnsi="Arial" w:cs="Arial" w:hint="cs"/>
          <w:color w:val="548DD4"/>
          <w:rtl/>
        </w:rPr>
        <w:t>'</w:t>
      </w:r>
      <w:r w:rsidR="00A574F6">
        <w:rPr>
          <w:rFonts w:ascii="Arial" w:hAnsi="Arial" w:cs="Arial" w:hint="cs"/>
          <w:color w:val="548DD4"/>
          <w:rtl/>
        </w:rPr>
        <w:t xml:space="preserve"> + </w:t>
      </w:r>
      <w:r w:rsidR="007F556A">
        <w:rPr>
          <w:rFonts w:ascii="Arial" w:hAnsi="Arial" w:cs="Arial" w:hint="cs"/>
          <w:color w:val="548DD4"/>
          <w:rtl/>
        </w:rPr>
        <w:t>ב</w:t>
      </w:r>
      <w:r w:rsidR="0056310C">
        <w:rPr>
          <w:rFonts w:ascii="Arial" w:hAnsi="Arial" w:cs="Arial" w:hint="cs"/>
          <w:color w:val="548DD4"/>
          <w:rtl/>
        </w:rPr>
        <w:t>'</w:t>
      </w:r>
      <w:r w:rsidR="0056310C">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7661B5">
        <w:rPr>
          <w:rFonts w:ascii="Arial" w:hAnsi="Arial" w:cs="Arial" w:hint="cs"/>
          <w:color w:val="548DD4"/>
          <w:rtl/>
        </w:rPr>
        <w:t>2</w:t>
      </w:r>
      <w:r w:rsidRPr="003C070F">
        <w:rPr>
          <w:rFonts w:ascii="Arial" w:hAnsi="Arial" w:cs="Arial"/>
          <w:color w:val="548DD4"/>
          <w:rtl/>
        </w:rPr>
        <w:t xml:space="preserve"> </w:t>
      </w:r>
      <w:proofErr w:type="spellStart"/>
      <w:r w:rsidR="0056310C">
        <w:rPr>
          <w:rFonts w:ascii="Arial" w:hAnsi="Arial" w:cs="Arial" w:hint="cs"/>
          <w:color w:val="548DD4"/>
          <w:rtl/>
        </w:rPr>
        <w:t>ש"ש</w:t>
      </w:r>
      <w:proofErr w:type="spellEnd"/>
    </w:p>
    <w:p w:rsidR="0056310C" w:rsidRPr="0056310C" w:rsidRDefault="0056310C" w:rsidP="0056310C">
      <w:pPr>
        <w:spacing w:line="360" w:lineRule="auto"/>
        <w:rPr>
          <w:rFonts w:ascii="Calibri" w:eastAsia="Calibri" w:hAnsi="Calibri" w:cs="Arial"/>
          <w:sz w:val="22"/>
          <w:szCs w:val="22"/>
        </w:rPr>
      </w:pPr>
      <w:r w:rsidRPr="0056310C">
        <w:rPr>
          <w:rFonts w:ascii="Calibri" w:eastAsia="Calibri" w:hAnsi="Calibri" w:cs="Arial"/>
          <w:sz w:val="22"/>
          <w:szCs w:val="22"/>
          <w:rtl/>
        </w:rPr>
        <w:t>אתר הקורס באינטרנט:</w:t>
      </w:r>
      <w:r w:rsidRPr="0056310C">
        <w:rPr>
          <w:rFonts w:ascii="Calibri" w:eastAsia="Calibri" w:hAnsi="Calibri" w:cs="Arial" w:hint="cs"/>
          <w:sz w:val="22"/>
          <w:szCs w:val="22"/>
          <w:rtl/>
        </w:rPr>
        <w:t xml:space="preserve"> </w:t>
      </w:r>
      <w:r w:rsidRPr="0056310C">
        <w:rPr>
          <w:rFonts w:ascii="Calibri" w:eastAsia="Calibri" w:hAnsi="Calibri" w:cs="Arial"/>
          <w:sz w:val="22"/>
          <w:szCs w:val="22"/>
        </w:rPr>
        <w:t>lemida.biu.ac.il</w:t>
      </w:r>
      <w:r w:rsidRPr="0056310C">
        <w:rPr>
          <w:rFonts w:ascii="Calibri" w:eastAsia="Calibri" w:hAnsi="Calibri" w:cs="Arial"/>
          <w:b/>
          <w:bCs/>
          <w:sz w:val="22"/>
          <w:szCs w:val="22"/>
          <w:rtl/>
        </w:rPr>
        <w:t xml:space="preserve">   </w:t>
      </w:r>
    </w:p>
    <w:p w:rsidR="00DD686B" w:rsidRPr="0056310C" w:rsidRDefault="00DD686B" w:rsidP="00D668F8">
      <w:pPr>
        <w:spacing w:line="360" w:lineRule="auto"/>
        <w:rPr>
          <w:sz w:val="28"/>
          <w:szCs w:val="28"/>
          <w:rtl/>
        </w:rPr>
      </w:pP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FE1333" w:rsidRPr="00B35A24" w:rsidRDefault="00FE1333" w:rsidP="00FE1333">
      <w:pPr>
        <w:rPr>
          <w:rFonts w:ascii="Arial" w:hAnsi="Arial" w:cs="Arial"/>
          <w:rtl/>
        </w:rPr>
      </w:pPr>
      <w:r w:rsidRPr="00B35A24">
        <w:rPr>
          <w:rFonts w:ascii="Arial" w:hAnsi="Arial" w:cs="Arial" w:hint="cs"/>
          <w:rtl/>
        </w:rPr>
        <w:t>עיון מקביל במשנה ובתוספתא תוך בחינת</w:t>
      </w:r>
      <w:r w:rsidR="00B35A24">
        <w:rPr>
          <w:rFonts w:ascii="Arial" w:hAnsi="Arial" w:cs="Arial" w:hint="cs"/>
          <w:rtl/>
        </w:rPr>
        <w:t xml:space="preserve"> טיב עדי הנוסח של שני החיבורים, התהוות החיבורים ואופי עריכתם,</w:t>
      </w:r>
      <w:r w:rsidRPr="00B35A24">
        <w:rPr>
          <w:rFonts w:ascii="Arial" w:hAnsi="Arial" w:cs="Arial" w:hint="cs"/>
          <w:rtl/>
        </w:rPr>
        <w:t xml:space="preserve"> היחס שבין ההלכות הבודדות וקבצי ההלכות בשני החיבורים, ותולדות ההלכה הנוגעת לקריאת שמע, לתפילת העמידה ולשאר הברכות.</w:t>
      </w:r>
    </w:p>
    <w:p w:rsidR="0098095D" w:rsidRPr="000B2C53" w:rsidRDefault="0098095D" w:rsidP="0098095D">
      <w:pPr>
        <w:spacing w:line="360" w:lineRule="exact"/>
        <w:rPr>
          <w:rFonts w:asciiTheme="minorBidi" w:hAnsiTheme="minorBidi" w:cstheme="minorBidi"/>
          <w:rtl/>
        </w:rPr>
      </w:pPr>
    </w:p>
    <w:p w:rsidR="0098095D" w:rsidRPr="00FE1333" w:rsidRDefault="0098095D" w:rsidP="0098095D">
      <w:pPr>
        <w:spacing w:line="360" w:lineRule="exact"/>
        <w:rPr>
          <w:rFonts w:asciiTheme="minorBidi" w:hAnsiTheme="minorBidi" w:cstheme="minorBidi"/>
          <w:b/>
          <w:bCs/>
          <w:rtl/>
        </w:rPr>
      </w:pPr>
      <w:r w:rsidRPr="00FE1333">
        <w:rPr>
          <w:rFonts w:asciiTheme="minorBidi" w:hAnsiTheme="minorBidi" w:cstheme="minorBidi"/>
          <w:b/>
          <w:bCs/>
          <w:rtl/>
        </w:rPr>
        <w:t>תוצרי למידה:</w:t>
      </w:r>
    </w:p>
    <w:p w:rsidR="0098095D" w:rsidRPr="000B2C53" w:rsidRDefault="0098095D" w:rsidP="00FE1333">
      <w:pPr>
        <w:spacing w:line="360" w:lineRule="exact"/>
        <w:jc w:val="both"/>
        <w:rPr>
          <w:rFonts w:asciiTheme="minorBidi" w:hAnsiTheme="minorBidi" w:cstheme="minorBidi"/>
          <w:rtl/>
        </w:rPr>
      </w:pPr>
      <w:r w:rsidRPr="000B2C53">
        <w:rPr>
          <w:rFonts w:asciiTheme="minorBidi" w:hAnsiTheme="minorBidi" w:cstheme="minorBidi"/>
          <w:rtl/>
        </w:rPr>
        <w:t>יכולת לנתח טקסטים מ</w:t>
      </w:r>
      <w:r w:rsidR="00FE1333">
        <w:rPr>
          <w:rFonts w:asciiTheme="minorBidi" w:hAnsiTheme="minorBidi" w:cstheme="minorBidi" w:hint="cs"/>
          <w:rtl/>
        </w:rPr>
        <w:t xml:space="preserve">ן המשנה </w:t>
      </w:r>
      <w:proofErr w:type="spellStart"/>
      <w:r w:rsidR="00FE1333">
        <w:rPr>
          <w:rFonts w:asciiTheme="minorBidi" w:hAnsiTheme="minorBidi" w:cstheme="minorBidi" w:hint="cs"/>
          <w:rtl/>
        </w:rPr>
        <w:t>והתוספתא</w:t>
      </w:r>
      <w:proofErr w:type="spellEnd"/>
      <w:r w:rsidR="00FE1333">
        <w:rPr>
          <w:rFonts w:asciiTheme="minorBidi" w:hAnsiTheme="minorBidi" w:cstheme="minorBidi" w:hint="cs"/>
          <w:rtl/>
        </w:rPr>
        <w:t xml:space="preserve"> לאור שיקולים מחקריים הנוגעים לטיב עדי הנוסח, אופי החיבורים, התהוותם והיחס ביניהם, ושימוש נרחב בספרות המחקר.</w:t>
      </w:r>
    </w:p>
    <w:p w:rsidR="0098095D" w:rsidRPr="000B2C53" w:rsidRDefault="0098095D" w:rsidP="0064775D">
      <w:pPr>
        <w:ind w:left="26"/>
        <w:jc w:val="both"/>
        <w:rPr>
          <w:rFonts w:asciiTheme="minorBidi" w:hAnsiTheme="minorBidi" w:cstheme="minorBidi"/>
          <w:rtl/>
        </w:rPr>
      </w:pPr>
    </w:p>
    <w:p w:rsidR="005761AC" w:rsidRPr="000B2C53" w:rsidRDefault="005761AC" w:rsidP="005761AC">
      <w:pPr>
        <w:ind w:left="26"/>
        <w:outlineLvl w:val="0"/>
        <w:rPr>
          <w:rFonts w:asciiTheme="minorBidi" w:hAnsiTheme="minorBidi" w:cstheme="minorBidi"/>
          <w:b/>
          <w:bCs/>
        </w:rPr>
      </w:pPr>
      <w:r w:rsidRPr="000B2C53">
        <w:rPr>
          <w:rFonts w:asciiTheme="minorBidi" w:hAnsiTheme="minorBidi" w:cstheme="minorBidi"/>
          <w:b/>
          <w:bCs/>
          <w:rtl/>
        </w:rPr>
        <w:t>ב. תוכן הקורס</w:t>
      </w:r>
      <w:r w:rsidR="0008680D" w:rsidRPr="000B2C53">
        <w:rPr>
          <w:rFonts w:asciiTheme="minorBidi" w:hAnsiTheme="minorBidi" w:cstheme="minorBidi"/>
          <w:b/>
          <w:bCs/>
        </w:rPr>
        <w:t>:</w:t>
      </w:r>
      <w:r w:rsidRPr="000B2C53">
        <w:rPr>
          <w:rFonts w:asciiTheme="minorBidi" w:hAnsiTheme="minorBidi" w:cstheme="minorBidi"/>
          <w:b/>
          <w:bCs/>
          <w:rtl/>
        </w:rPr>
        <w:t xml:space="preserve"> </w:t>
      </w:r>
    </w:p>
    <w:p w:rsidR="005A047F" w:rsidRPr="005A047F" w:rsidRDefault="005A047F" w:rsidP="005A047F">
      <w:pPr>
        <w:rPr>
          <w:rFonts w:ascii="Arial" w:hAnsi="Arial" w:cs="Arial"/>
          <w:sz w:val="28"/>
          <w:rtl/>
        </w:rPr>
      </w:pPr>
      <w:r w:rsidRPr="005A047F">
        <w:rPr>
          <w:rFonts w:ascii="Arial" w:hAnsi="Arial" w:cs="Arial"/>
          <w:rtl/>
        </w:rPr>
        <w:t xml:space="preserve">במהלך הקורס נעסוק בשאלות הקשורות לאופים של שני החיבורים ולהיבטים השונים של הזיקה ביניהם, לאור שיקולים פילולוגים ופרשניים. נבחן את תהליכי ההתהוות והעריכה של החיבורים, את מידת קדמותן של ההלכות הבודדות ושל הקבצים הערוכים, ואת תולדות עדי הנוסח שלהם. נעיין ביחס שבין ההלכות בתוספתא להלכות במשנה, ביחס שבין ספר התוספתא לספר המשנה, ובדרכי השימוש בתוספתא כמקור לפרשנות המשנה בתלמודים. באמצעות העיון בהלכות השונות נבחן את ההצעות שהועלו בספרות הפרשנית והמחקרית בסוגיות אלו, ואת שניתן ללמוד מהן על דרכי גיבושה הספרותי של ספרות ההלכה התנאית ותולדות ההלכה העוסקת בקריאת שמע </w:t>
      </w:r>
      <w:r w:rsidRPr="005A047F">
        <w:rPr>
          <w:rFonts w:ascii="Arial" w:hAnsi="Arial" w:cs="Arial" w:hint="cs"/>
          <w:rtl/>
        </w:rPr>
        <w:t>ו</w:t>
      </w:r>
      <w:r w:rsidRPr="005A047F">
        <w:rPr>
          <w:rFonts w:ascii="Arial" w:hAnsi="Arial" w:cs="Arial"/>
          <w:rtl/>
        </w:rPr>
        <w:t>ברכותיה</w:t>
      </w:r>
      <w:r w:rsidRPr="005A047F">
        <w:rPr>
          <w:rFonts w:ascii="Arial" w:hAnsi="Arial" w:cs="Arial" w:hint="cs"/>
          <w:rtl/>
        </w:rPr>
        <w:t>, בתפילת העמידה ובשאר הברכות.</w:t>
      </w:r>
    </w:p>
    <w:p w:rsidR="000B2C53" w:rsidRPr="000B2C53" w:rsidRDefault="000B2C53" w:rsidP="000B2C53">
      <w:pPr>
        <w:rPr>
          <w:rFonts w:ascii="Arial" w:hAnsi="Arial" w:cs="Arial"/>
          <w:sz w:val="28"/>
          <w:rtl/>
        </w:rPr>
      </w:pPr>
    </w:p>
    <w:p w:rsidR="000B2C53" w:rsidRPr="005A047F" w:rsidRDefault="000B2C53" w:rsidP="000B2C53">
      <w:pPr>
        <w:ind w:left="26"/>
        <w:outlineLvl w:val="0"/>
        <w:rPr>
          <w:rFonts w:ascii="Arial" w:hAnsi="Arial" w:cs="Arial"/>
          <w:rtl/>
        </w:rPr>
      </w:pPr>
      <w:r w:rsidRPr="000B2C53">
        <w:rPr>
          <w:rFonts w:ascii="Arial" w:hAnsi="Arial" w:cs="Arial"/>
          <w:b/>
          <w:bCs/>
          <w:sz w:val="26"/>
          <w:szCs w:val="26"/>
          <w:rtl/>
        </w:rPr>
        <w:t>מהלך השיעורים:</w:t>
      </w:r>
      <w:r w:rsidRPr="000B2C53">
        <w:rPr>
          <w:rFonts w:ascii="Arial" w:hAnsi="Arial" w:cs="Arial"/>
          <w:b/>
          <w:bCs/>
          <w:rtl/>
        </w:rPr>
        <w:t xml:space="preserve"> </w:t>
      </w:r>
    </w:p>
    <w:p w:rsidR="000B2C53" w:rsidRPr="0008680D" w:rsidRDefault="005A047F" w:rsidP="005A047F">
      <w:pPr>
        <w:ind w:left="26"/>
        <w:rPr>
          <w:rFonts w:asciiTheme="minorBidi" w:hAnsiTheme="minorBidi" w:cstheme="minorBidi"/>
          <w:rtl/>
        </w:rPr>
      </w:pPr>
      <w:r w:rsidRPr="005A047F">
        <w:rPr>
          <w:rFonts w:ascii="Arial" w:hAnsi="Arial" w:cs="Arial" w:hint="cs"/>
          <w:rtl/>
        </w:rPr>
        <w:t xml:space="preserve">במהלך השיעור נעיין במקורות ראשוניים וננתחם לאור דברי הפרשנים המסורתיים ודברי החוקרים </w:t>
      </w:r>
      <w:proofErr w:type="spellStart"/>
      <w:r w:rsidRPr="005A047F">
        <w:rPr>
          <w:rFonts w:ascii="Arial" w:hAnsi="Arial" w:cs="Arial" w:hint="cs"/>
          <w:rtl/>
        </w:rPr>
        <w:t>המודרנים</w:t>
      </w:r>
      <w:proofErr w:type="spellEnd"/>
      <w:r w:rsidRPr="005A047F">
        <w:rPr>
          <w:rFonts w:ascii="Arial" w:hAnsi="Arial" w:cs="Arial" w:hint="cs"/>
          <w:rtl/>
        </w:rPr>
        <w:t>. לקראת כל שיעור יתבקשו הסטודנטים לעיין במקורות ובספרות המחקר שיידונו בשיעור הבא</w:t>
      </w:r>
      <w:r w:rsidR="000B2C53" w:rsidRPr="0008680D">
        <w:rPr>
          <w:rFonts w:asciiTheme="minorBidi" w:hAnsiTheme="minorBidi" w:cstheme="minorBidi"/>
          <w:rtl/>
        </w:rPr>
        <w:t>. בתחילת ה</w:t>
      </w:r>
      <w:r>
        <w:rPr>
          <w:rFonts w:asciiTheme="minorBidi" w:hAnsiTheme="minorBidi" w:cstheme="minorBidi" w:hint="cs"/>
          <w:rtl/>
        </w:rPr>
        <w:t>שנה</w:t>
      </w:r>
      <w:r w:rsidR="000B2C53" w:rsidRPr="0008680D">
        <w:rPr>
          <w:rFonts w:asciiTheme="minorBidi" w:hAnsiTheme="minorBidi" w:cstheme="minorBidi"/>
          <w:rtl/>
        </w:rPr>
        <w:t xml:space="preserve"> תועמד לרשות הסטודנטים מקראה הכוללת את המקורות שנעיין בהם וספרות מחקר תועלה לאתר הקורס. במקביל לעיון במקראה, במהלך השיעורים יוצגו על מסך תצלומי כתבי יד ומקורות נוספים.</w:t>
      </w:r>
    </w:p>
    <w:p w:rsidR="000B2C53" w:rsidRPr="000B2C53" w:rsidRDefault="000B2C53" w:rsidP="000B2C53">
      <w:pPr>
        <w:ind w:left="26"/>
        <w:rPr>
          <w:rFonts w:ascii="Arial" w:hAnsi="Arial" w:cs="Arial"/>
        </w:rPr>
      </w:pPr>
    </w:p>
    <w:p w:rsidR="000B2C53" w:rsidRPr="00E32894" w:rsidRDefault="000B2C53" w:rsidP="000B2C53">
      <w:pPr>
        <w:ind w:left="26"/>
        <w:outlineLvl w:val="0"/>
        <w:rPr>
          <w:rFonts w:ascii="Arial" w:hAnsi="Arial" w:cs="Arial"/>
          <w:b/>
          <w:bCs/>
          <w:rtl/>
        </w:rPr>
      </w:pPr>
      <w:r w:rsidRPr="00E32894">
        <w:rPr>
          <w:rFonts w:ascii="Arial" w:hAnsi="Arial" w:cs="Arial"/>
          <w:b/>
          <w:bCs/>
          <w:rtl/>
        </w:rPr>
        <w:t xml:space="preserve">תכנית הוראה מפורטת לכל השיעורים: </w:t>
      </w:r>
    </w:p>
    <w:p w:rsidR="00750ED3" w:rsidRPr="00750ED3" w:rsidRDefault="00750ED3" w:rsidP="00750ED3">
      <w:pPr>
        <w:ind w:left="26"/>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966"/>
        <w:gridCol w:w="4297"/>
      </w:tblGrid>
      <w:tr w:rsidR="00750ED3" w:rsidRPr="00750ED3" w:rsidTr="00035C9F">
        <w:tc>
          <w:tcPr>
            <w:tcW w:w="1040"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מספר</w:t>
            </w:r>
          </w:p>
          <w:p w:rsidR="00750ED3" w:rsidRPr="00750ED3" w:rsidRDefault="00750ED3" w:rsidP="00035C9F">
            <w:pPr>
              <w:jc w:val="center"/>
              <w:rPr>
                <w:rFonts w:ascii="Arial" w:hAnsi="Arial" w:cs="Arial"/>
                <w:rtl/>
              </w:rPr>
            </w:pPr>
            <w:r w:rsidRPr="00750ED3">
              <w:rPr>
                <w:rFonts w:ascii="Arial" w:hAnsi="Arial" w:cs="Arial"/>
                <w:rtl/>
              </w:rPr>
              <w:t>השיעור</w:t>
            </w:r>
          </w:p>
        </w:tc>
        <w:tc>
          <w:tcPr>
            <w:tcW w:w="3060"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נושא השיעור</w:t>
            </w:r>
          </w:p>
        </w:tc>
        <w:tc>
          <w:tcPr>
            <w:tcW w:w="4428"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קריאה נדרשת</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1. </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מבוא למשנה, </w:t>
            </w:r>
            <w:proofErr w:type="spellStart"/>
            <w:r w:rsidRPr="00750ED3">
              <w:rPr>
                <w:rFonts w:ascii="Arial" w:hAnsi="Arial" w:cs="Arial"/>
                <w:rtl/>
              </w:rPr>
              <w:t>לתוספתא</w:t>
            </w:r>
            <w:proofErr w:type="spellEnd"/>
            <w:r w:rsidRPr="00750ED3">
              <w:rPr>
                <w:rFonts w:ascii="Arial" w:hAnsi="Arial" w:cs="Arial"/>
                <w:rtl/>
              </w:rPr>
              <w:t xml:space="preserve"> וליחסים ביניהם.</w:t>
            </w:r>
          </w:p>
        </w:tc>
        <w:tc>
          <w:tcPr>
            <w:tcW w:w="4428" w:type="dxa"/>
            <w:shd w:val="clear" w:color="auto" w:fill="auto"/>
          </w:tcPr>
          <w:p w:rsidR="00750ED3" w:rsidRPr="00750ED3" w:rsidRDefault="00750ED3" w:rsidP="00035C9F">
            <w:pPr>
              <w:rPr>
                <w:rFonts w:ascii="Arial" w:hAnsi="Arial" w:cs="Arial"/>
                <w:rtl/>
              </w:rPr>
            </w:pP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2</w:t>
            </w:r>
            <w:r w:rsidRPr="00750ED3">
              <w:rPr>
                <w:rFonts w:ascii="Arial" w:hAnsi="Arial" w:cs="Arial" w:hint="cs"/>
                <w:rtl/>
              </w:rPr>
              <w:t>-3.</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זמן קריאת שמע של ערבית</w:t>
            </w:r>
          </w:p>
        </w:tc>
        <w:tc>
          <w:tcPr>
            <w:tcW w:w="4428" w:type="dxa"/>
            <w:shd w:val="clear" w:color="auto" w:fill="auto"/>
          </w:tcPr>
          <w:p w:rsidR="00750ED3" w:rsidRPr="00750ED3" w:rsidRDefault="00750ED3" w:rsidP="00035C9F">
            <w:pPr>
              <w:rPr>
                <w:rFonts w:ascii="Arial" w:hAnsi="Arial" w:cs="Arial"/>
                <w:rtl/>
              </w:rPr>
            </w:pPr>
            <w:proofErr w:type="spellStart"/>
            <w:r w:rsidRPr="00750ED3">
              <w:rPr>
                <w:rFonts w:ascii="Arial" w:hAnsi="Arial" w:cs="Arial"/>
                <w:rtl/>
              </w:rPr>
              <w:t>גינצבורג</w:t>
            </w:r>
            <w:proofErr w:type="spellEnd"/>
            <w:r w:rsidRPr="00750ED3">
              <w:rPr>
                <w:rFonts w:ascii="Arial" w:hAnsi="Arial" w:cs="Arial"/>
                <w:rtl/>
              </w:rPr>
              <w:t>, ל', פירושים וחידושים בירושלמי, ניו-יורק תש"א, א, עמ' 3-12.</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4-5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זמן קריאת שמע של שחרית</w:t>
            </w:r>
          </w:p>
        </w:tc>
        <w:tc>
          <w:tcPr>
            <w:tcW w:w="4428" w:type="dxa"/>
            <w:shd w:val="clear" w:color="auto" w:fill="auto"/>
          </w:tcPr>
          <w:p w:rsidR="00750ED3" w:rsidRPr="00750ED3" w:rsidRDefault="00750ED3" w:rsidP="00035C9F">
            <w:pPr>
              <w:rPr>
                <w:rFonts w:ascii="Arial" w:hAnsi="Arial" w:cs="Arial"/>
                <w:rtl/>
              </w:rPr>
            </w:pPr>
            <w:proofErr w:type="spellStart"/>
            <w:r w:rsidRPr="00750ED3">
              <w:rPr>
                <w:rFonts w:ascii="Arial" w:hAnsi="Arial" w:cs="Arial"/>
                <w:rtl/>
              </w:rPr>
              <w:t>בנוביץ</w:t>
            </w:r>
            <w:proofErr w:type="spellEnd"/>
            <w:r w:rsidRPr="00750ED3">
              <w:rPr>
                <w:rFonts w:ascii="Arial" w:hAnsi="Arial" w:cs="Arial"/>
                <w:rtl/>
              </w:rPr>
              <w:t>, מ', מסכת ברכות פרק ראשון מן התלמוד הבבלי, עם פרשנות על דרך המחקר, ירושלים תשס"ב, עמ' 381-413</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6-7</w:t>
            </w:r>
            <w:r w:rsidRPr="00750ED3">
              <w:rPr>
                <w:rFonts w:ascii="Arial" w:hAnsi="Arial" w:cs="Arial"/>
                <w:rtl/>
              </w:rPr>
              <w:t xml:space="preserve"> </w:t>
            </w:r>
            <w:r w:rsidRPr="00750ED3">
              <w:rPr>
                <w:rFonts w:ascii="Arial" w:hAnsi="Arial" w:cs="Arial" w:hint="cs"/>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מצב הגוף בזמן קריאת שמע – ההכרעה כבית הלל</w:t>
            </w:r>
          </w:p>
        </w:tc>
        <w:tc>
          <w:tcPr>
            <w:tcW w:w="4428" w:type="dxa"/>
            <w:shd w:val="clear" w:color="auto" w:fill="auto"/>
          </w:tcPr>
          <w:p w:rsidR="00750ED3" w:rsidRPr="00750ED3" w:rsidRDefault="00750ED3" w:rsidP="00035C9F">
            <w:pPr>
              <w:rPr>
                <w:rFonts w:ascii="Arial" w:hAnsi="Arial" w:cs="Arial"/>
                <w:rtl/>
              </w:rPr>
            </w:pPr>
            <w:proofErr w:type="spellStart"/>
            <w:r w:rsidRPr="00750ED3">
              <w:rPr>
                <w:rFonts w:ascii="Arial" w:hAnsi="Arial" w:cs="Arial"/>
                <w:rtl/>
              </w:rPr>
              <w:t>ספראי</w:t>
            </w:r>
            <w:proofErr w:type="spellEnd"/>
            <w:r w:rsidRPr="00750ED3">
              <w:rPr>
                <w:rFonts w:ascii="Arial" w:hAnsi="Arial" w:cs="Arial"/>
                <w:rtl/>
              </w:rPr>
              <w:t xml:space="preserve">, ש', "ההכרעה כבית הלל ביבנה", </w:t>
            </w:r>
            <w:proofErr w:type="spellStart"/>
            <w:r w:rsidRPr="00750ED3">
              <w:rPr>
                <w:rFonts w:ascii="Arial" w:hAnsi="Arial" w:cs="Arial"/>
                <w:rtl/>
              </w:rPr>
              <w:t>דקעלה"י</w:t>
            </w:r>
            <w:proofErr w:type="spellEnd"/>
            <w:r w:rsidRPr="00750ED3">
              <w:rPr>
                <w:rFonts w:ascii="Arial" w:hAnsi="Arial" w:cs="Arial"/>
                <w:rtl/>
              </w:rPr>
              <w:t xml:space="preserve"> השביעי (תשמ"א), ג, עמ' 21-44</w:t>
            </w:r>
            <w:r w:rsidRPr="00750ED3">
              <w:rPr>
                <w:rFonts w:ascii="Arial" w:hAnsi="Arial" w:cs="Arial" w:hint="cs"/>
                <w:rtl/>
              </w:rPr>
              <w:t>;</w:t>
            </w:r>
          </w:p>
          <w:p w:rsidR="00750ED3" w:rsidRPr="00750ED3" w:rsidRDefault="00750ED3" w:rsidP="00035C9F">
            <w:pPr>
              <w:rPr>
                <w:rFonts w:ascii="Arial" w:hAnsi="Arial" w:cs="Arial"/>
                <w:rtl/>
              </w:rPr>
            </w:pPr>
            <w:r w:rsidRPr="00750ED3">
              <w:rPr>
                <w:rFonts w:ascii="Arial" w:hAnsi="Arial" w:cs="Arial"/>
                <w:rtl/>
              </w:rPr>
              <w:t xml:space="preserve">סבתו, מ', "קריאת שמע של ר' ישמעאל ושל ר' אלעזר בן עזריה וההכרעה כבית הלל", </w:t>
            </w:r>
            <w:proofErr w:type="spellStart"/>
            <w:r w:rsidRPr="00750ED3">
              <w:rPr>
                <w:rFonts w:ascii="Arial" w:hAnsi="Arial" w:cs="Arial"/>
                <w:rtl/>
              </w:rPr>
              <w:t>סידרא</w:t>
            </w:r>
            <w:proofErr w:type="spellEnd"/>
            <w:r w:rsidRPr="00750ED3">
              <w:rPr>
                <w:rFonts w:ascii="Arial" w:hAnsi="Arial" w:cs="Arial"/>
                <w:rtl/>
              </w:rPr>
              <w:t xml:space="preserve"> </w:t>
            </w:r>
            <w:proofErr w:type="spellStart"/>
            <w:r w:rsidRPr="00750ED3">
              <w:rPr>
                <w:rFonts w:ascii="Arial" w:hAnsi="Arial" w:cs="Arial"/>
                <w:rtl/>
              </w:rPr>
              <w:t>כב</w:t>
            </w:r>
            <w:proofErr w:type="spellEnd"/>
            <w:r w:rsidRPr="00750ED3">
              <w:rPr>
                <w:rFonts w:ascii="Arial" w:hAnsi="Arial" w:cs="Arial"/>
                <w:rtl/>
              </w:rPr>
              <w:t xml:space="preserve"> (תשס"ז), עמ' 41-55</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8-9.</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ברכות 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color w:val="000000"/>
                <w:rtl/>
              </w:rPr>
              <w:t xml:space="preserve">פירוש רש"י ור"ת למשנה </w:t>
            </w:r>
            <w:proofErr w:type="spellStart"/>
            <w:r w:rsidRPr="00750ED3">
              <w:rPr>
                <w:rFonts w:ascii="Arial" w:hAnsi="Arial" w:cs="Arial"/>
                <w:color w:val="000000"/>
                <w:rtl/>
              </w:rPr>
              <w:t>ולתוספתא</w:t>
            </w:r>
            <w:proofErr w:type="spellEnd"/>
            <w:r w:rsidRPr="00750ED3">
              <w:rPr>
                <w:rFonts w:ascii="Arial" w:hAnsi="Arial" w:cs="Arial"/>
                <w:color w:val="000000"/>
                <w:rtl/>
              </w:rPr>
              <w:t xml:space="preserve"> המופיע </w:t>
            </w:r>
            <w:proofErr w:type="spellStart"/>
            <w:r w:rsidRPr="00750ED3">
              <w:rPr>
                <w:rFonts w:ascii="Arial" w:hAnsi="Arial" w:cs="Arial"/>
                <w:color w:val="000000"/>
                <w:rtl/>
              </w:rPr>
              <w:t>בשבלי</w:t>
            </w:r>
            <w:proofErr w:type="spellEnd"/>
            <w:r w:rsidRPr="00750ED3">
              <w:rPr>
                <w:rFonts w:ascii="Arial" w:hAnsi="Arial" w:cs="Arial"/>
                <w:color w:val="000000"/>
                <w:rtl/>
              </w:rPr>
              <w:t xml:space="preserve"> הלקט, ענין תפילה, </w:t>
            </w:r>
            <w:proofErr w:type="spellStart"/>
            <w:r w:rsidRPr="00750ED3">
              <w:rPr>
                <w:rFonts w:ascii="Arial" w:hAnsi="Arial" w:cs="Arial"/>
                <w:color w:val="000000"/>
                <w:rtl/>
              </w:rPr>
              <w:t>כח</w:t>
            </w:r>
            <w:proofErr w:type="spellEnd"/>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10-11.</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כוונה בקריאת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Pr>
              <w:t>Moscovitz, L., Talmudic Reasoning, Tubingen 2002, p. 306-309, 327-331</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12-13</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hint="cs"/>
                <w:rtl/>
              </w:rPr>
              <w:t>טעה בקריאת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עמית, א', "'טעה' בדבר משנה: עיון במשנה ברכות ב, ד" </w:t>
            </w:r>
            <w:proofErr w:type="spellStart"/>
            <w:r w:rsidRPr="00750ED3">
              <w:rPr>
                <w:rFonts w:ascii="Arial" w:hAnsi="Arial" w:cs="Arial"/>
                <w:rtl/>
              </w:rPr>
              <w:t>סידרא</w:t>
            </w:r>
            <w:proofErr w:type="spellEnd"/>
            <w:r w:rsidRPr="00750ED3">
              <w:rPr>
                <w:rFonts w:ascii="Arial" w:hAnsi="Arial" w:cs="Arial"/>
                <w:rtl/>
              </w:rPr>
              <w:t xml:space="preserve"> </w:t>
            </w:r>
            <w:proofErr w:type="spellStart"/>
            <w:r w:rsidRPr="00750ED3">
              <w:rPr>
                <w:rFonts w:ascii="Arial" w:hAnsi="Arial" w:cs="Arial"/>
                <w:rtl/>
              </w:rPr>
              <w:t>יט</w:t>
            </w:r>
            <w:proofErr w:type="spellEnd"/>
            <w:r w:rsidRPr="00750ED3">
              <w:rPr>
                <w:rFonts w:ascii="Arial" w:hAnsi="Arial" w:cs="Arial"/>
                <w:rtl/>
              </w:rPr>
              <w:t xml:space="preserve"> (תשס"ד) 117-135</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1</w:t>
            </w:r>
            <w:r w:rsidRPr="00750ED3">
              <w:rPr>
                <w:rFonts w:ascii="Arial" w:hAnsi="Arial" w:cs="Arial" w:hint="cs"/>
                <w:rtl/>
              </w:rPr>
              <w:t>4</w:t>
            </w:r>
            <w:r w:rsidRPr="00750ED3">
              <w:rPr>
                <w:rFonts w:ascii="Arial" w:hAnsi="Arial" w:cs="Arial"/>
                <w:rtl/>
              </w:rPr>
              <w:t>-</w:t>
            </w:r>
            <w:r w:rsidRPr="00750ED3">
              <w:rPr>
                <w:rFonts w:ascii="Arial" w:hAnsi="Arial" w:cs="Arial" w:hint="cs"/>
                <w:rtl/>
              </w:rPr>
              <w:t>15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מיסוד חובת התפילה</w:t>
            </w:r>
          </w:p>
        </w:tc>
        <w:tc>
          <w:tcPr>
            <w:tcW w:w="4428" w:type="dxa"/>
            <w:shd w:val="clear" w:color="auto" w:fill="auto"/>
          </w:tcPr>
          <w:p w:rsidR="00750ED3" w:rsidRPr="00750ED3" w:rsidRDefault="00750ED3" w:rsidP="00035C9F">
            <w:pPr>
              <w:rPr>
                <w:rFonts w:ascii="Arial" w:hAnsi="Arial" w:cs="Arial"/>
                <w:rtl/>
              </w:rPr>
            </w:pPr>
            <w:proofErr w:type="spellStart"/>
            <w:r w:rsidRPr="00750ED3">
              <w:rPr>
                <w:rFonts w:ascii="Arial" w:hAnsi="Arial" w:cs="Arial"/>
                <w:rtl/>
              </w:rPr>
              <w:t>פליישר</w:t>
            </w:r>
            <w:proofErr w:type="spellEnd"/>
            <w:r w:rsidRPr="00750ED3">
              <w:rPr>
                <w:rFonts w:ascii="Arial" w:hAnsi="Arial" w:cs="Arial"/>
                <w:rtl/>
              </w:rPr>
              <w:t>, ע', "לקדמוניות תפילות החובה בישראל", תרביץ נט (</w:t>
            </w:r>
            <w:proofErr w:type="spellStart"/>
            <w:r w:rsidRPr="00750ED3">
              <w:rPr>
                <w:rFonts w:ascii="Arial" w:hAnsi="Arial" w:cs="Arial"/>
                <w:rtl/>
              </w:rPr>
              <w:t>תש"ן</w:t>
            </w:r>
            <w:proofErr w:type="spellEnd"/>
            <w:r w:rsidRPr="00750ED3">
              <w:rPr>
                <w:rFonts w:ascii="Arial" w:hAnsi="Arial" w:cs="Arial"/>
                <w:rtl/>
              </w:rPr>
              <w:t>), עמ' 419-441</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16</w:t>
            </w:r>
            <w:r w:rsidRPr="00750ED3">
              <w:rPr>
                <w:rFonts w:ascii="Arial" w:hAnsi="Arial" w:cs="Arial"/>
                <w:rtl/>
              </w:rPr>
              <w:t>-</w:t>
            </w:r>
            <w:r w:rsidRPr="00750ED3">
              <w:rPr>
                <w:rFonts w:ascii="Arial" w:hAnsi="Arial" w:cs="Arial" w:hint="cs"/>
                <w:rtl/>
              </w:rPr>
              <w:t>17</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'פרשת העיבור'</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הנשקה, ד', "בין 'פרשת העיבור' לברכת המינים'", מקומראן עד קהיר, מחקרים בתולדות התפילה, בעריכת י' </w:t>
            </w:r>
            <w:proofErr w:type="spellStart"/>
            <w:r w:rsidRPr="00750ED3">
              <w:rPr>
                <w:rFonts w:ascii="Arial" w:hAnsi="Arial" w:cs="Arial"/>
                <w:rtl/>
              </w:rPr>
              <w:t>תבורי</w:t>
            </w:r>
            <w:proofErr w:type="spellEnd"/>
            <w:r w:rsidRPr="00750ED3">
              <w:rPr>
                <w:rFonts w:ascii="Arial" w:hAnsi="Arial" w:cs="Arial"/>
                <w:rtl/>
              </w:rPr>
              <w:t xml:space="preserve">, ירושלים תשנ"ט, עמ' </w:t>
            </w:r>
            <w:proofErr w:type="spellStart"/>
            <w:r w:rsidRPr="00750ED3">
              <w:rPr>
                <w:rFonts w:ascii="Arial" w:hAnsi="Arial" w:cs="Arial"/>
                <w:rtl/>
              </w:rPr>
              <w:t>עה</w:t>
            </w:r>
            <w:proofErr w:type="spellEnd"/>
            <w:r w:rsidRPr="00750ED3">
              <w:rPr>
                <w:rFonts w:ascii="Arial" w:hAnsi="Arial" w:cs="Arial"/>
                <w:rtl/>
              </w:rPr>
              <w:t>-קב</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18</w:t>
            </w:r>
            <w:r w:rsidRPr="00750ED3">
              <w:rPr>
                <w:rFonts w:ascii="Arial" w:hAnsi="Arial" w:cs="Arial"/>
                <w:rtl/>
              </w:rPr>
              <w:t>-</w:t>
            </w:r>
            <w:r w:rsidRPr="00750ED3">
              <w:rPr>
                <w:rFonts w:ascii="Arial" w:hAnsi="Arial" w:cs="Arial" w:hint="cs"/>
                <w:rtl/>
              </w:rPr>
              <w:t>19</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תפילה השגורה בפה</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נאה, ש', "'בורא ניב שפתיים': פרק בפנומנולוגיה של התפילה על-פי משנת ברכות ד, ג; ה, ה", תרביץ </w:t>
            </w:r>
            <w:proofErr w:type="spellStart"/>
            <w:r w:rsidRPr="00750ED3">
              <w:rPr>
                <w:rFonts w:ascii="Arial" w:hAnsi="Arial" w:cs="Arial"/>
                <w:rtl/>
              </w:rPr>
              <w:t>סג</w:t>
            </w:r>
            <w:proofErr w:type="spellEnd"/>
            <w:r w:rsidRPr="00750ED3">
              <w:rPr>
                <w:rFonts w:ascii="Arial" w:hAnsi="Arial" w:cs="Arial"/>
                <w:rtl/>
              </w:rPr>
              <w:t xml:space="preserve"> (תשנ"ד), עמ' 185-218</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20</w:t>
            </w:r>
            <w:r w:rsidRPr="00750ED3">
              <w:rPr>
                <w:rFonts w:ascii="Arial" w:hAnsi="Arial" w:cs="Arial"/>
                <w:rtl/>
              </w:rPr>
              <w:t>-</w:t>
            </w:r>
            <w:r w:rsidRPr="00750ED3">
              <w:rPr>
                <w:rFonts w:ascii="Arial" w:hAnsi="Arial" w:cs="Arial" w:hint="cs"/>
                <w:rtl/>
              </w:rPr>
              <w:t>21</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מנהגי חסידים</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ש' </w:t>
            </w:r>
            <w:proofErr w:type="spellStart"/>
            <w:r w:rsidRPr="00750ED3">
              <w:rPr>
                <w:rFonts w:ascii="Arial" w:hAnsi="Arial" w:cs="Arial"/>
                <w:rtl/>
              </w:rPr>
              <w:t>ספראי</w:t>
            </w:r>
            <w:proofErr w:type="spellEnd"/>
            <w:r w:rsidRPr="00750ED3">
              <w:rPr>
                <w:rFonts w:ascii="Arial" w:hAnsi="Arial" w:cs="Arial"/>
                <w:rtl/>
              </w:rPr>
              <w:t>, "משנת חסידים ואנשי מעשה", והנה אין יוסף – קובץ לזכרו של יוסף אמוראי, תל-אביב תשל"ג, עמ' 136-153</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22</w:t>
            </w:r>
            <w:r w:rsidRPr="00750ED3">
              <w:rPr>
                <w:rFonts w:ascii="Arial" w:hAnsi="Arial" w:cs="Arial"/>
                <w:rtl/>
              </w:rPr>
              <w:t>-</w:t>
            </w:r>
            <w:r w:rsidRPr="00750ED3">
              <w:rPr>
                <w:rFonts w:ascii="Arial" w:hAnsi="Arial" w:cs="Arial" w:hint="cs"/>
                <w:rtl/>
              </w:rPr>
              <w:t>23</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ברכת המזון והזימון</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שמש, א', "ברכת המזון – שלוש או ארבע", </w:t>
            </w:r>
            <w:proofErr w:type="spellStart"/>
            <w:r w:rsidRPr="00750ED3">
              <w:rPr>
                <w:rFonts w:ascii="Arial" w:hAnsi="Arial" w:cs="Arial"/>
                <w:rtl/>
              </w:rPr>
              <w:t>סידרא</w:t>
            </w:r>
            <w:proofErr w:type="spellEnd"/>
            <w:r w:rsidRPr="00750ED3">
              <w:rPr>
                <w:rFonts w:ascii="Arial" w:hAnsi="Arial" w:cs="Arial"/>
                <w:rtl/>
              </w:rPr>
              <w:t xml:space="preserve"> יא (תשנ"ה), 153-166</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24</w:t>
            </w:r>
            <w:r w:rsidRPr="00750ED3">
              <w:rPr>
                <w:rFonts w:ascii="Arial" w:hAnsi="Arial" w:cs="Arial"/>
                <w:rtl/>
              </w:rPr>
              <w:t>-</w:t>
            </w:r>
            <w:r w:rsidRPr="00750ED3">
              <w:rPr>
                <w:rFonts w:ascii="Arial" w:hAnsi="Arial" w:cs="Arial" w:hint="cs"/>
                <w:rtl/>
              </w:rPr>
              <w:t>25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ברכת המצוות</w:t>
            </w:r>
          </w:p>
        </w:tc>
        <w:tc>
          <w:tcPr>
            <w:tcW w:w="4428" w:type="dxa"/>
            <w:shd w:val="clear" w:color="auto" w:fill="auto"/>
          </w:tcPr>
          <w:p w:rsidR="00750ED3" w:rsidRPr="00750ED3" w:rsidRDefault="00750ED3" w:rsidP="00035C9F">
            <w:pPr>
              <w:rPr>
                <w:rFonts w:ascii="Arial" w:hAnsi="Arial" w:cs="Arial"/>
                <w:rtl/>
              </w:rPr>
            </w:pPr>
            <w:proofErr w:type="spellStart"/>
            <w:r w:rsidRPr="00750ED3">
              <w:rPr>
                <w:rFonts w:ascii="Arial" w:hAnsi="Arial" w:cs="Arial"/>
                <w:rtl/>
              </w:rPr>
              <w:t>וולפיש</w:t>
            </w:r>
            <w:proofErr w:type="spellEnd"/>
            <w:r w:rsidRPr="00750ED3">
              <w:rPr>
                <w:rFonts w:ascii="Arial" w:hAnsi="Arial" w:cs="Arial"/>
                <w:rtl/>
              </w:rPr>
              <w:t>, א', "</w:t>
            </w:r>
            <w:r w:rsidRPr="00750ED3">
              <w:rPr>
                <w:rFonts w:ascii="Arial" w:hAnsi="Arial" w:cs="Arial"/>
              </w:rPr>
              <w:t xml:space="preserve">Approaching the text and approaching God: the redaction of Mishnah and Tosefta </w:t>
            </w:r>
            <w:proofErr w:type="spellStart"/>
            <w:r w:rsidRPr="00750ED3">
              <w:rPr>
                <w:rFonts w:ascii="Arial" w:hAnsi="Arial" w:cs="Arial"/>
              </w:rPr>
              <w:t>Berachot</w:t>
            </w:r>
            <w:proofErr w:type="spellEnd"/>
            <w:r w:rsidRPr="00750ED3">
              <w:rPr>
                <w:rFonts w:ascii="Arial" w:hAnsi="Arial" w:cs="Arial"/>
                <w:rtl/>
              </w:rPr>
              <w:t>", מדעי היהדות 43 (תשס"ה), 21-79</w:t>
            </w:r>
          </w:p>
        </w:tc>
      </w:tr>
    </w:tbl>
    <w:p w:rsidR="00750ED3" w:rsidRPr="00750ED3" w:rsidRDefault="00750ED3" w:rsidP="00750ED3">
      <w:pPr>
        <w:ind w:left="26"/>
        <w:rPr>
          <w:rFonts w:ascii="Arial" w:hAnsi="Arial" w:cs="Arial"/>
          <w:rtl/>
        </w:rPr>
      </w:pPr>
    </w:p>
    <w:p w:rsidR="00750ED3" w:rsidRPr="00750ED3" w:rsidRDefault="00750ED3" w:rsidP="00750ED3">
      <w:pPr>
        <w:rPr>
          <w:rFonts w:ascii="Arial" w:hAnsi="Arial" w:cs="Arial"/>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6A5509" w:rsidRPr="007E1586" w:rsidRDefault="006A5509" w:rsidP="0073596C">
      <w:pPr>
        <w:pStyle w:val="m-2416880146872196398xmsonormal"/>
        <w:shd w:val="clear" w:color="auto" w:fill="FFFFFF"/>
        <w:bidi/>
        <w:spacing w:before="0" w:beforeAutospacing="0" w:after="0" w:afterAutospacing="0"/>
        <w:rPr>
          <w:rFonts w:asciiTheme="minorBidi" w:hAnsiTheme="minorBidi" w:cstheme="minorBidi"/>
          <w:rtl/>
        </w:rPr>
      </w:pPr>
      <w:r>
        <w:rPr>
          <w:rFonts w:ascii="Arial" w:hAnsi="Arial" w:cs="Arial"/>
          <w:color w:val="201F1E"/>
          <w:rtl/>
        </w:rPr>
        <w:lastRenderedPageBreak/>
        <w:t>נוכח הגבלות הקורונה וחוסר הוודאות שמלווה אותנו קורס זה יועבר</w:t>
      </w:r>
      <w:r>
        <w:rPr>
          <w:rFonts w:ascii="Arial" w:hAnsi="Arial" w:cs="Arial" w:hint="cs"/>
          <w:color w:val="201F1E"/>
          <w:rtl/>
        </w:rPr>
        <w:t xml:space="preserve"> בזום.</w:t>
      </w:r>
      <w:r>
        <w:rPr>
          <w:rFonts w:ascii="Arial" w:hAnsi="Arial" w:cs="Arial"/>
          <w:color w:val="201F1E"/>
          <w:rtl/>
        </w:rPr>
        <w:t> כל שיעור יוקלט ובסיומו המרצה יעמיד קישור לשיעור באתר המודל של הקורס.</w:t>
      </w:r>
      <w:r>
        <w:rPr>
          <w:rFonts w:ascii="Arial" w:hAnsi="Arial" w:cs="Arial" w:hint="cs"/>
          <w:color w:val="201F1E"/>
          <w:rtl/>
        </w:rPr>
        <w:t xml:space="preserve"> </w:t>
      </w:r>
      <w:r>
        <w:rPr>
          <w:rFonts w:ascii="Arial" w:hAnsi="Arial" w:cs="Arial"/>
          <w:color w:val="212121"/>
          <w:rtl/>
        </w:rPr>
        <w:t>בקורס זה יש </w:t>
      </w:r>
      <w:r w:rsidRPr="00375C7B">
        <w:rPr>
          <w:rFonts w:ascii="Arial" w:hAnsi="Arial" w:cs="Arial"/>
          <w:color w:val="212121"/>
          <w:rtl/>
        </w:rPr>
        <w:t>עדיפות לנוכחות</w:t>
      </w:r>
      <w:r>
        <w:rPr>
          <w:rFonts w:ascii="Arial" w:hAnsi="Arial" w:cs="Arial" w:hint="cs"/>
          <w:color w:val="212121"/>
          <w:rtl/>
        </w:rPr>
        <w:t xml:space="preserve"> בזום</w:t>
      </w:r>
      <w:r w:rsidRPr="00375C7B">
        <w:rPr>
          <w:rFonts w:ascii="Arial" w:hAnsi="Arial" w:cs="Arial"/>
          <w:color w:val="212121"/>
          <w:rtl/>
        </w:rPr>
        <w:t xml:space="preserve"> בזמן אמת.</w:t>
      </w:r>
      <w:r>
        <w:rPr>
          <w:rFonts w:ascii="Arial" w:hAnsi="Arial" w:cs="Arial"/>
          <w:color w:val="212121"/>
          <w:rtl/>
        </w:rPr>
        <w:t xml:space="preserve"> </w:t>
      </w:r>
      <w:r w:rsidR="0073596C">
        <w:rPr>
          <w:rFonts w:ascii="Arial" w:hAnsi="Arial" w:cs="Arial"/>
          <w:color w:val="212121"/>
          <w:rtl/>
        </w:rPr>
        <w:t xml:space="preserve">תלמידים שאינם יכולים להיות בזום בזמן אמת </w:t>
      </w:r>
      <w:r w:rsidR="0073596C">
        <w:rPr>
          <w:rFonts w:ascii="Arial" w:hAnsi="Arial" w:cs="Arial" w:hint="cs"/>
          <w:color w:val="212121"/>
          <w:rtl/>
        </w:rPr>
        <w:t>יצרו</w:t>
      </w:r>
      <w:r w:rsidR="0073596C">
        <w:rPr>
          <w:rFonts w:ascii="Arial" w:hAnsi="Arial" w:cs="Arial"/>
          <w:color w:val="212121"/>
          <w:rtl/>
        </w:rPr>
        <w:t xml:space="preserve"> קשר עם המרצה מראש כדי לוודא שהם לומדים כראוי</w:t>
      </w:r>
      <w:bookmarkStart w:id="0" w:name="_GoBack"/>
      <w:bookmarkEnd w:id="0"/>
      <w:r>
        <w:rPr>
          <w:rFonts w:ascii="Arial" w:hAnsi="Arial" w:cs="Arial" w:hint="cs"/>
          <w:color w:val="212121"/>
          <w:rtl/>
        </w:rPr>
        <w:t>.</w:t>
      </w:r>
    </w:p>
    <w:p w:rsidR="00BF4832" w:rsidRPr="007E1586" w:rsidRDefault="006A5509" w:rsidP="006A5509">
      <w:pPr>
        <w:jc w:val="both"/>
        <w:rPr>
          <w:rFonts w:asciiTheme="minorBidi" w:hAnsiTheme="minorBidi" w:cstheme="minorBidi"/>
          <w:rtl/>
        </w:rPr>
      </w:pPr>
      <w:r w:rsidRPr="007E1586">
        <w:rPr>
          <w:rFonts w:asciiTheme="minorBidi" w:hAnsiTheme="minorBidi" w:cstheme="minorBidi"/>
          <w:rtl/>
        </w:rPr>
        <w:t>במהלך הסמסטר הסטודנטים יתבקשו לעיין במקורות</w:t>
      </w:r>
      <w:r>
        <w:rPr>
          <w:rFonts w:asciiTheme="minorBidi" w:hAnsiTheme="minorBidi" w:cstheme="minorBidi" w:hint="cs"/>
          <w:rtl/>
        </w:rPr>
        <w:t xml:space="preserve"> ראשוניים</w:t>
      </w:r>
      <w:r w:rsidRPr="007E1586">
        <w:rPr>
          <w:rFonts w:asciiTheme="minorBidi" w:hAnsiTheme="minorBidi" w:cstheme="minorBidi"/>
          <w:rtl/>
        </w:rPr>
        <w:t xml:space="preserve"> ו</w:t>
      </w:r>
      <w:r>
        <w:rPr>
          <w:rFonts w:asciiTheme="minorBidi" w:hAnsiTheme="minorBidi" w:cstheme="minorBidi" w:hint="cs"/>
          <w:rtl/>
        </w:rPr>
        <w:t>ב</w:t>
      </w:r>
      <w:r w:rsidRPr="007E1586">
        <w:rPr>
          <w:rFonts w:asciiTheme="minorBidi" w:hAnsiTheme="minorBidi" w:cstheme="minorBidi"/>
          <w:rtl/>
        </w:rPr>
        <w:t>ספרות מחקר כהכנה לשיעורים</w:t>
      </w:r>
      <w:r>
        <w:rPr>
          <w:rFonts w:asciiTheme="minorBidi" w:hAnsiTheme="minorBidi" w:cstheme="minorBidi" w:hint="cs"/>
          <w:rtl/>
        </w:rPr>
        <w:t>.</w:t>
      </w:r>
    </w:p>
    <w:p w:rsidR="00BF4832" w:rsidRPr="007E1586" w:rsidRDefault="00BF4832" w:rsidP="002262E8">
      <w:pPr>
        <w:jc w:val="both"/>
        <w:rPr>
          <w:rFonts w:asciiTheme="minorBidi" w:hAnsiTheme="minorBidi" w:cstheme="minorBidi"/>
          <w:rtl/>
        </w:rPr>
      </w:pPr>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7F67F0" w:rsidRDefault="007F67F0" w:rsidP="007F67F0">
      <w:pPr>
        <w:rPr>
          <w:rFonts w:asciiTheme="minorBidi" w:hAnsiTheme="minorBidi" w:cstheme="minorBidi"/>
          <w:rtl/>
        </w:rPr>
      </w:pPr>
      <w:r>
        <w:rPr>
          <w:rFonts w:ascii="Arial" w:hAnsi="Arial" w:cs="Arial"/>
          <w:color w:val="000000"/>
          <w:shd w:val="clear" w:color="auto" w:fill="FFFFFF"/>
          <w:rtl/>
        </w:rPr>
        <w:t>הציון הסופי מורכב מעבודה במקום מבחן בסוף הקורס שמהווה 100% מן הציון</w:t>
      </w:r>
      <w:r>
        <w:rPr>
          <w:rFonts w:ascii="Arial" w:hAnsi="Arial" w:cs="Arial"/>
          <w:color w:val="000000"/>
          <w:shd w:val="clear" w:color="auto" w:fill="FFFFFF"/>
        </w:rPr>
        <w:t>.</w:t>
      </w:r>
      <w:r w:rsidRPr="007E1586">
        <w:rPr>
          <w:rFonts w:asciiTheme="minorBidi" w:hAnsiTheme="minorBidi" w:cstheme="minorBidi"/>
          <w:rtl/>
        </w:rPr>
        <w:t xml:space="preserve"> </w:t>
      </w:r>
    </w:p>
    <w:p w:rsidR="007F67F0" w:rsidRDefault="007F67F0" w:rsidP="007F67F0">
      <w:pPr>
        <w:rPr>
          <w:rFonts w:asciiTheme="minorBidi" w:hAnsiTheme="minorBidi" w:cstheme="minorBidi"/>
          <w:rtl/>
        </w:rPr>
      </w:pPr>
      <w:r w:rsidRPr="007E1586">
        <w:rPr>
          <w:rFonts w:asciiTheme="minorBidi" w:hAnsiTheme="minorBidi" w:cstheme="minorBidi"/>
          <w:rtl/>
        </w:rPr>
        <w:t>ציון עובר: 60</w:t>
      </w:r>
    </w:p>
    <w:p w:rsidR="00BE5A1F" w:rsidRDefault="00BE5A1F" w:rsidP="007E1586">
      <w:pPr>
        <w:rPr>
          <w:rFonts w:asciiTheme="minorBidi" w:hAnsiTheme="minorBidi" w:cstheme="minorBidi"/>
          <w:rtl/>
        </w:rPr>
      </w:pPr>
    </w:p>
    <w:p w:rsidR="0064775D" w:rsidRPr="007E1586" w:rsidRDefault="0064775D" w:rsidP="0064775D">
      <w:pPr>
        <w:spacing w:line="360" w:lineRule="auto"/>
        <w:jc w:val="both"/>
        <w:rPr>
          <w:rFonts w:asciiTheme="minorBidi" w:hAnsiTheme="minorBidi" w:cstheme="minorBidi"/>
          <w:rtl/>
        </w:rPr>
      </w:pPr>
    </w:p>
    <w:p w:rsidR="007762FE" w:rsidRPr="000246DB" w:rsidRDefault="007762FE" w:rsidP="007762FE">
      <w:pPr>
        <w:spacing w:line="360" w:lineRule="auto"/>
        <w:ind w:left="26"/>
        <w:rPr>
          <w:rFonts w:asciiTheme="minorBidi" w:hAnsiTheme="minorBidi" w:cstheme="minorBidi"/>
          <w:color w:val="000000"/>
        </w:rPr>
      </w:pPr>
      <w:r w:rsidRPr="007E1586">
        <w:rPr>
          <w:rFonts w:asciiTheme="minorBidi" w:hAnsiTheme="minorBidi" w:cstheme="minorBidi"/>
          <w:b/>
          <w:bCs/>
          <w:rtl/>
        </w:rPr>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0246DB" w:rsidRPr="000246DB" w:rsidRDefault="000246DB" w:rsidP="000246DB">
      <w:pPr>
        <w:numPr>
          <w:ilvl w:val="0"/>
          <w:numId w:val="6"/>
        </w:numPr>
        <w:spacing w:before="100" w:beforeAutospacing="1" w:after="100" w:afterAutospacing="1"/>
        <w:rPr>
          <w:rFonts w:ascii="Arial" w:hAnsi="Arial" w:cs="Arial"/>
          <w:color w:val="222222"/>
        </w:rPr>
      </w:pPr>
      <w:proofErr w:type="spellStart"/>
      <w:r w:rsidRPr="000246DB">
        <w:rPr>
          <w:rFonts w:ascii="Arial" w:hAnsi="Arial" w:cs="Arial"/>
          <w:color w:val="000000"/>
          <w:rtl/>
        </w:rPr>
        <w:t>אברמסקי</w:t>
      </w:r>
      <w:proofErr w:type="spellEnd"/>
      <w:r w:rsidRPr="000246DB">
        <w:rPr>
          <w:rFonts w:ascii="Arial" w:hAnsi="Arial" w:cs="Arial"/>
          <w:color w:val="000000"/>
          <w:rtl/>
        </w:rPr>
        <w:t>, י', תוספתא עם פירוש חזון יחזקאל, ירושלים תש"ח</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אלבק</w:t>
      </w:r>
      <w:proofErr w:type="spellEnd"/>
      <w:r w:rsidRPr="000246DB">
        <w:rPr>
          <w:rFonts w:ascii="Arial" w:hAnsi="Arial" w:cs="Arial"/>
          <w:color w:val="000000"/>
          <w:rtl/>
        </w:rPr>
        <w:t>, ח', מחקרים בברייתא ובתוספתא ויחסן לתלמוד, ירושלים תש"ל</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 אפשטיין, </w:t>
      </w:r>
      <w:proofErr w:type="spellStart"/>
      <w:r w:rsidRPr="000246DB">
        <w:rPr>
          <w:rFonts w:ascii="Arial" w:hAnsi="Arial" w:cs="Arial"/>
          <w:color w:val="000000"/>
          <w:rtl/>
        </w:rPr>
        <w:t>י"נ</w:t>
      </w:r>
      <w:proofErr w:type="spellEnd"/>
      <w:r w:rsidRPr="000246DB">
        <w:rPr>
          <w:rFonts w:ascii="Arial" w:hAnsi="Arial" w:cs="Arial"/>
          <w:color w:val="000000"/>
          <w:rtl/>
        </w:rPr>
        <w:t>, מבואות לספרות התנאים, ירושלים – תל-אביב תשי"ז</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אפשטיין, </w:t>
      </w:r>
      <w:proofErr w:type="spellStart"/>
      <w:r w:rsidRPr="000246DB">
        <w:rPr>
          <w:rFonts w:ascii="Arial" w:hAnsi="Arial" w:cs="Arial"/>
          <w:color w:val="000000"/>
          <w:rtl/>
        </w:rPr>
        <w:t>י"נ</w:t>
      </w:r>
      <w:proofErr w:type="spellEnd"/>
      <w:r w:rsidRPr="000246DB">
        <w:rPr>
          <w:rFonts w:ascii="Arial" w:hAnsi="Arial" w:cs="Arial"/>
          <w:color w:val="000000"/>
          <w:rtl/>
        </w:rPr>
        <w:t>, מבוא לנוסח המשנה, ירושלים – תל-אביב תשכ"ד</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בנוביץ</w:t>
      </w:r>
      <w:proofErr w:type="spellEnd"/>
      <w:r w:rsidRPr="000246DB">
        <w:rPr>
          <w:rFonts w:ascii="Arial" w:hAnsi="Arial" w:cs="Arial"/>
          <w:color w:val="000000"/>
          <w:rtl/>
        </w:rPr>
        <w:t>, מ', מסכת ברכות פרק ראשון מן התלמוד הבבלי, עם פרשנות על דרך המחקר, ירושלים תשס"ב.</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בנוביץ</w:t>
      </w:r>
      <w:proofErr w:type="spellEnd"/>
      <w:r w:rsidRPr="000246DB">
        <w:rPr>
          <w:rFonts w:ascii="Arial" w:hAnsi="Arial" w:cs="Arial"/>
          <w:color w:val="000000"/>
          <w:rtl/>
        </w:rPr>
        <w:t xml:space="preserve">, מ', "שינון: קריאת שמע במשנתו של רבי שמעון בר יוחאי", </w:t>
      </w:r>
      <w:proofErr w:type="spellStart"/>
      <w:r w:rsidRPr="000246DB">
        <w:rPr>
          <w:rFonts w:ascii="Arial" w:hAnsi="Arial" w:cs="Arial"/>
          <w:color w:val="000000"/>
          <w:rtl/>
        </w:rPr>
        <w:t>סידרא</w:t>
      </w:r>
      <w:proofErr w:type="spellEnd"/>
      <w:r w:rsidRPr="000246DB">
        <w:rPr>
          <w:rFonts w:ascii="Arial" w:hAnsi="Arial" w:cs="Arial"/>
          <w:color w:val="000000"/>
          <w:rtl/>
        </w:rPr>
        <w:t xml:space="preserve"> כ (תשס"ה), עמ' 25-56</w:t>
      </w:r>
    </w:p>
    <w:p w:rsidR="000246DB" w:rsidRPr="000246DB" w:rsidRDefault="000246DB" w:rsidP="000246DB">
      <w:pPr>
        <w:numPr>
          <w:ilvl w:val="0"/>
          <w:numId w:val="6"/>
        </w:numPr>
        <w:spacing w:before="100" w:beforeAutospacing="1" w:after="100" w:afterAutospacing="1"/>
        <w:rPr>
          <w:rFonts w:ascii="Arial" w:hAnsi="Arial" w:cs="Arial"/>
          <w:color w:val="222222"/>
        </w:rPr>
      </w:pPr>
      <w:r w:rsidRPr="000246DB">
        <w:rPr>
          <w:rFonts w:ascii="Arial" w:hAnsi="Arial" w:cs="Arial"/>
          <w:color w:val="000000"/>
          <w:rtl/>
        </w:rPr>
        <w:t xml:space="preserve">בר-אשר, מ', "הטיפוסים השונים של לשון המשנה", תרביץ, </w:t>
      </w:r>
      <w:proofErr w:type="spellStart"/>
      <w:r w:rsidRPr="000246DB">
        <w:rPr>
          <w:rFonts w:ascii="Arial" w:hAnsi="Arial" w:cs="Arial"/>
          <w:color w:val="000000"/>
          <w:rtl/>
        </w:rPr>
        <w:t>נג</w:t>
      </w:r>
      <w:proofErr w:type="spellEnd"/>
      <w:r w:rsidRPr="000246DB">
        <w:rPr>
          <w:rFonts w:ascii="Arial" w:hAnsi="Arial" w:cs="Arial"/>
          <w:color w:val="000000"/>
          <w:rtl/>
        </w:rPr>
        <w:t xml:space="preserve"> (תשמ"ד), עמ' 187-220</w:t>
      </w:r>
    </w:p>
    <w:p w:rsidR="000246DB" w:rsidRPr="000246DB" w:rsidRDefault="000246DB" w:rsidP="000246DB">
      <w:pPr>
        <w:numPr>
          <w:ilvl w:val="0"/>
          <w:numId w:val="6"/>
        </w:numPr>
        <w:spacing w:before="100" w:beforeAutospacing="1" w:after="100" w:afterAutospacing="1"/>
        <w:rPr>
          <w:rFonts w:ascii="Arial" w:hAnsi="Arial" w:cs="Arial"/>
          <w:color w:val="222222"/>
          <w:rtl/>
        </w:rPr>
      </w:pPr>
      <w:r>
        <w:rPr>
          <w:rFonts w:ascii="Arial" w:hAnsi="Arial" w:cs="Arial" w:hint="cs"/>
          <w:color w:val="000000"/>
          <w:rtl/>
        </w:rPr>
        <w:t xml:space="preserve">ברודי, י', משנה </w:t>
      </w:r>
      <w:proofErr w:type="spellStart"/>
      <w:r>
        <w:rPr>
          <w:rFonts w:ascii="Arial" w:hAnsi="Arial" w:cs="Arial" w:hint="cs"/>
          <w:color w:val="000000"/>
          <w:rtl/>
        </w:rPr>
        <w:t>ותוספתא</w:t>
      </w:r>
      <w:proofErr w:type="spellEnd"/>
      <w:r>
        <w:rPr>
          <w:rFonts w:ascii="Arial" w:hAnsi="Arial" w:cs="Arial" w:hint="cs"/>
          <w:color w:val="000000"/>
          <w:rtl/>
        </w:rPr>
        <w:t xml:space="preserve"> כתובות, ירושלים 2015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ברוורמן, נ', "לבחינת טיבם של כ"י וינה וכ"י </w:t>
      </w:r>
      <w:proofErr w:type="spellStart"/>
      <w:r w:rsidRPr="000246DB">
        <w:rPr>
          <w:rFonts w:ascii="Arial" w:hAnsi="Arial" w:cs="Arial"/>
          <w:color w:val="000000"/>
          <w:rtl/>
        </w:rPr>
        <w:t>ארפורט</w:t>
      </w:r>
      <w:proofErr w:type="spellEnd"/>
      <w:r w:rsidRPr="000246DB">
        <w:rPr>
          <w:rFonts w:ascii="Arial" w:hAnsi="Arial" w:cs="Arial"/>
          <w:color w:val="000000"/>
          <w:rtl/>
        </w:rPr>
        <w:t xml:space="preserve"> של התוספתא", מחקרים בלשון, ה-ו (תשנ"ב), עמ' 153-170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גולדברג, א', פירוש למשנה מסכת שבת, ירושלים תשל"ו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גילת, י"ד, "למחלוקות בית שמאי ובית הלל", ספר פנחס זומר, תל-אביב תשמ"ג, עמ' 166-176</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גילת, י"ד, "מתולדות קריאת שמע", פרקים בהשתלשלות ההלכה, רמת-גן 1992, עמ' 283-300</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גינצבורג</w:t>
      </w:r>
      <w:proofErr w:type="spellEnd"/>
      <w:r w:rsidRPr="000246DB">
        <w:rPr>
          <w:rFonts w:ascii="Arial" w:hAnsi="Arial" w:cs="Arial"/>
          <w:color w:val="000000"/>
          <w:rtl/>
        </w:rPr>
        <w:t>, ל', פירושים וחידושים בירושלמי, ניו-יורק תש"א</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דה-פריז, ב', "</w:t>
      </w:r>
      <w:proofErr w:type="spellStart"/>
      <w:r w:rsidRPr="000246DB">
        <w:rPr>
          <w:rFonts w:ascii="Arial" w:hAnsi="Arial" w:cs="Arial"/>
          <w:color w:val="000000"/>
          <w:rtl/>
        </w:rPr>
        <w:t>בעית</w:t>
      </w:r>
      <w:proofErr w:type="spellEnd"/>
      <w:r w:rsidRPr="000246DB">
        <w:rPr>
          <w:rFonts w:ascii="Arial" w:hAnsi="Arial" w:cs="Arial"/>
          <w:color w:val="000000"/>
          <w:rtl/>
        </w:rPr>
        <w:t xml:space="preserve"> היחס בין התוספתא ובין התלמודים", תרביץ </w:t>
      </w:r>
      <w:proofErr w:type="spellStart"/>
      <w:r w:rsidRPr="000246DB">
        <w:rPr>
          <w:rFonts w:ascii="Arial" w:hAnsi="Arial" w:cs="Arial"/>
          <w:color w:val="000000"/>
          <w:rtl/>
        </w:rPr>
        <w:t>כח</w:t>
      </w:r>
      <w:proofErr w:type="spellEnd"/>
      <w:r w:rsidRPr="000246DB">
        <w:rPr>
          <w:rFonts w:ascii="Arial" w:hAnsi="Arial" w:cs="Arial"/>
          <w:color w:val="000000"/>
          <w:rtl/>
        </w:rPr>
        <w:t xml:space="preserve"> (תשי"ט), עמ' 158-170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הנשקה, ד', "בין 'פרשת העיבור' לברכת המינים'", מקומראן עד קהיר, מחקרים בתולדות התפילה, בעריכת י' </w:t>
      </w:r>
      <w:proofErr w:type="spellStart"/>
      <w:r w:rsidRPr="000246DB">
        <w:rPr>
          <w:rFonts w:ascii="Arial" w:hAnsi="Arial" w:cs="Arial"/>
          <w:color w:val="000000"/>
          <w:rtl/>
        </w:rPr>
        <w:t>תבורי</w:t>
      </w:r>
      <w:proofErr w:type="spellEnd"/>
      <w:r w:rsidRPr="000246DB">
        <w:rPr>
          <w:rFonts w:ascii="Arial" w:hAnsi="Arial" w:cs="Arial"/>
          <w:color w:val="000000"/>
          <w:rtl/>
        </w:rPr>
        <w:t xml:space="preserve">, ירושלים תשנ"ט, עמ' </w:t>
      </w:r>
      <w:proofErr w:type="spellStart"/>
      <w:r w:rsidRPr="000246DB">
        <w:rPr>
          <w:rFonts w:ascii="Arial" w:hAnsi="Arial" w:cs="Arial"/>
          <w:color w:val="000000"/>
          <w:rtl/>
        </w:rPr>
        <w:t>עה</w:t>
      </w:r>
      <w:proofErr w:type="spellEnd"/>
      <w:r w:rsidRPr="000246DB">
        <w:rPr>
          <w:rFonts w:ascii="Arial" w:hAnsi="Arial" w:cs="Arial"/>
          <w:color w:val="000000"/>
          <w:rtl/>
        </w:rPr>
        <w:t>-קב</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וולפיש</w:t>
      </w:r>
      <w:proofErr w:type="spellEnd"/>
      <w:r w:rsidRPr="000246DB">
        <w:rPr>
          <w:rFonts w:ascii="Arial" w:hAnsi="Arial" w:cs="Arial"/>
          <w:color w:val="000000"/>
          <w:rtl/>
        </w:rPr>
        <w:t xml:space="preserve">, א', " איחוד ההלכה והאגדה: עיון בדרכי עריכתה של התוספתא", היגיון ליונה (בעריכת י' </w:t>
      </w:r>
      <w:proofErr w:type="spellStart"/>
      <w:r w:rsidRPr="000246DB">
        <w:rPr>
          <w:rFonts w:ascii="Arial" w:hAnsi="Arial" w:cs="Arial"/>
          <w:color w:val="000000"/>
          <w:rtl/>
        </w:rPr>
        <w:t>לוינסון</w:t>
      </w:r>
      <w:proofErr w:type="spellEnd"/>
      <w:r w:rsidRPr="000246DB">
        <w:rPr>
          <w:rFonts w:ascii="Arial" w:hAnsi="Arial" w:cs="Arial"/>
          <w:color w:val="000000"/>
          <w:rtl/>
        </w:rPr>
        <w:t xml:space="preserve"> ואחרים), ירושלים </w:t>
      </w:r>
      <w:proofErr w:type="spellStart"/>
      <w:r w:rsidRPr="000246DB">
        <w:rPr>
          <w:rFonts w:ascii="Arial" w:hAnsi="Arial" w:cs="Arial"/>
          <w:color w:val="000000"/>
          <w:rtl/>
        </w:rPr>
        <w:t>תשסז</w:t>
      </w:r>
      <w:proofErr w:type="spellEnd"/>
      <w:r w:rsidRPr="000246DB">
        <w:rPr>
          <w:rFonts w:ascii="Arial" w:hAnsi="Arial" w:cs="Arial"/>
          <w:color w:val="000000"/>
          <w:rtl/>
        </w:rPr>
        <w:t>, עמ' 309-331</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וולפיש</w:t>
      </w:r>
      <w:proofErr w:type="spellEnd"/>
      <w:r w:rsidRPr="000246DB">
        <w:rPr>
          <w:rFonts w:ascii="Arial" w:hAnsi="Arial" w:cs="Arial"/>
          <w:color w:val="000000"/>
          <w:rtl/>
        </w:rPr>
        <w:t>, א', "העריכה היוצרת וכוח היצר: עיון בעריכת מסכת קידושין במשנה, בתוספתא ובבבלי",</w:t>
      </w:r>
      <w:r w:rsidRPr="000246DB">
        <w:rPr>
          <w:rStyle w:val="apple-converted-space"/>
          <w:rFonts w:ascii="Arial" w:hAnsi="Arial" w:cs="Arial"/>
          <w:color w:val="000000"/>
          <w:rtl/>
        </w:rPr>
        <w:t> </w:t>
      </w:r>
      <w:r w:rsidRPr="000246DB">
        <w:rPr>
          <w:rFonts w:ascii="Arial" w:hAnsi="Arial" w:cs="Arial"/>
          <w:color w:val="000000"/>
        </w:rPr>
        <w:t>JSIJ, 7 (2008), pp. 31- 79</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ליברמן, ש', תוספתא כפשוטה, א, ניו-יורק תשט"ו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ליברמן, ש', תשלום תוספתא, מבוא </w:t>
      </w:r>
      <w:proofErr w:type="spellStart"/>
      <w:r w:rsidRPr="000246DB">
        <w:rPr>
          <w:rFonts w:ascii="Arial" w:hAnsi="Arial" w:cs="Arial"/>
          <w:color w:val="000000"/>
          <w:rtl/>
        </w:rPr>
        <w:t>לתוספתא</w:t>
      </w:r>
      <w:proofErr w:type="spellEnd"/>
      <w:r w:rsidRPr="000246DB">
        <w:rPr>
          <w:rFonts w:ascii="Arial" w:hAnsi="Arial" w:cs="Arial"/>
          <w:color w:val="000000"/>
          <w:rtl/>
        </w:rPr>
        <w:t xml:space="preserve"> מהדורת </w:t>
      </w:r>
      <w:proofErr w:type="spellStart"/>
      <w:r w:rsidRPr="000246DB">
        <w:rPr>
          <w:rFonts w:ascii="Arial" w:hAnsi="Arial" w:cs="Arial"/>
          <w:color w:val="000000"/>
          <w:rtl/>
        </w:rPr>
        <w:t>צוקרמנדל</w:t>
      </w:r>
      <w:proofErr w:type="spellEnd"/>
      <w:r w:rsidRPr="000246DB">
        <w:rPr>
          <w:rFonts w:ascii="Arial" w:hAnsi="Arial" w:cs="Arial"/>
          <w:color w:val="000000"/>
          <w:rtl/>
        </w:rPr>
        <w:t>, ירושלים תשל"ה</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 עמית, א', "'טעה' בדבר משנה: עיון במשנה ברכות ב, ד" </w:t>
      </w:r>
      <w:proofErr w:type="spellStart"/>
      <w:r w:rsidRPr="000246DB">
        <w:rPr>
          <w:rFonts w:ascii="Arial" w:hAnsi="Arial" w:cs="Arial"/>
          <w:color w:val="000000"/>
          <w:rtl/>
        </w:rPr>
        <w:t>סידרא</w:t>
      </w:r>
      <w:proofErr w:type="spellEnd"/>
      <w:r w:rsidRPr="000246DB">
        <w:rPr>
          <w:rFonts w:ascii="Arial" w:hAnsi="Arial" w:cs="Arial"/>
          <w:color w:val="000000"/>
          <w:rtl/>
        </w:rPr>
        <w:t xml:space="preserve"> </w:t>
      </w:r>
      <w:proofErr w:type="spellStart"/>
      <w:r w:rsidRPr="000246DB">
        <w:rPr>
          <w:rFonts w:ascii="Arial" w:hAnsi="Arial" w:cs="Arial"/>
          <w:color w:val="000000"/>
          <w:rtl/>
        </w:rPr>
        <w:t>יט</w:t>
      </w:r>
      <w:proofErr w:type="spellEnd"/>
      <w:r w:rsidRPr="000246DB">
        <w:rPr>
          <w:rFonts w:ascii="Arial" w:hAnsi="Arial" w:cs="Arial"/>
          <w:color w:val="000000"/>
          <w:rtl/>
        </w:rPr>
        <w:t xml:space="preserve"> (תשס"ד) 117-135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נאה, ש', "'בורא ניב שפתיים': פרק בפנומנולוגיה של התפילה על-פי משנת ברכות ד, ג; ה, ה", תרביץ </w:t>
      </w:r>
      <w:proofErr w:type="spellStart"/>
      <w:r w:rsidRPr="000246DB">
        <w:rPr>
          <w:rFonts w:ascii="Arial" w:hAnsi="Arial" w:cs="Arial"/>
          <w:color w:val="000000"/>
          <w:rtl/>
        </w:rPr>
        <w:t>סג</w:t>
      </w:r>
      <w:proofErr w:type="spellEnd"/>
      <w:r w:rsidRPr="000246DB">
        <w:rPr>
          <w:rFonts w:ascii="Arial" w:hAnsi="Arial" w:cs="Arial"/>
          <w:color w:val="000000"/>
          <w:rtl/>
        </w:rPr>
        <w:t xml:space="preserve"> (תשנ"ד), עמ' 185-218</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נאה, ש', "עוד על 'פרשת העיבור'", מקומראן עד קהיר, מחקרים בתולדות התפילה, בעריכת י' </w:t>
      </w:r>
      <w:proofErr w:type="spellStart"/>
      <w:r w:rsidRPr="000246DB">
        <w:rPr>
          <w:rFonts w:ascii="Arial" w:hAnsi="Arial" w:cs="Arial"/>
          <w:color w:val="000000"/>
          <w:rtl/>
        </w:rPr>
        <w:t>תבורי</w:t>
      </w:r>
      <w:proofErr w:type="spellEnd"/>
      <w:r w:rsidRPr="000246DB">
        <w:rPr>
          <w:rFonts w:ascii="Arial" w:hAnsi="Arial" w:cs="Arial"/>
          <w:color w:val="000000"/>
          <w:rtl/>
        </w:rPr>
        <w:t xml:space="preserve">, ירושלים תשנ"ט, עמ' </w:t>
      </w:r>
      <w:proofErr w:type="spellStart"/>
      <w:r w:rsidRPr="000246DB">
        <w:rPr>
          <w:rFonts w:ascii="Arial" w:hAnsi="Arial" w:cs="Arial"/>
          <w:color w:val="000000"/>
          <w:rtl/>
        </w:rPr>
        <w:t>קג-קכ</w:t>
      </w:r>
      <w:proofErr w:type="spellEnd"/>
      <w:r w:rsidRPr="000246DB">
        <w:rPr>
          <w:rFonts w:ascii="Arial" w:hAnsi="Arial" w:cs="Arial"/>
          <w:color w:val="000000"/>
          <w:rtl/>
        </w:rPr>
        <w:t>.</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lastRenderedPageBreak/>
        <w:t>פליישר</w:t>
      </w:r>
      <w:proofErr w:type="spellEnd"/>
      <w:r w:rsidRPr="000246DB">
        <w:rPr>
          <w:rFonts w:ascii="Arial" w:hAnsi="Arial" w:cs="Arial"/>
          <w:color w:val="000000"/>
          <w:rtl/>
        </w:rPr>
        <w:t>, ע', "לקדמוניות תפילות החובה בישראל", תרביץ נט (</w:t>
      </w:r>
      <w:proofErr w:type="spellStart"/>
      <w:r w:rsidRPr="000246DB">
        <w:rPr>
          <w:rFonts w:ascii="Arial" w:hAnsi="Arial" w:cs="Arial"/>
          <w:color w:val="000000"/>
          <w:rtl/>
        </w:rPr>
        <w:t>תש"ן</w:t>
      </w:r>
      <w:proofErr w:type="spellEnd"/>
      <w:r w:rsidRPr="000246DB">
        <w:rPr>
          <w:rFonts w:ascii="Arial" w:hAnsi="Arial" w:cs="Arial"/>
          <w:color w:val="000000"/>
          <w:rtl/>
        </w:rPr>
        <w:t>), עמ' 397-441</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פליישר</w:t>
      </w:r>
      <w:proofErr w:type="spellEnd"/>
      <w:r w:rsidRPr="000246DB">
        <w:rPr>
          <w:rFonts w:ascii="Arial" w:hAnsi="Arial" w:cs="Arial"/>
          <w:color w:val="000000"/>
          <w:rtl/>
        </w:rPr>
        <w:t xml:space="preserve">, ע', "תפילת שמונה עשרה: עיונים </w:t>
      </w:r>
      <w:proofErr w:type="spellStart"/>
      <w:r w:rsidRPr="000246DB">
        <w:rPr>
          <w:rFonts w:ascii="Arial" w:hAnsi="Arial" w:cs="Arial"/>
          <w:color w:val="000000"/>
          <w:rtl/>
        </w:rPr>
        <w:t>באופיה</w:t>
      </w:r>
      <w:proofErr w:type="spellEnd"/>
      <w:r w:rsidRPr="000246DB">
        <w:rPr>
          <w:rFonts w:ascii="Arial" w:hAnsi="Arial" w:cs="Arial"/>
          <w:color w:val="000000"/>
          <w:rtl/>
        </w:rPr>
        <w:t xml:space="preserve">, סדרה, תוכנה ומגמותיה", תרביץ </w:t>
      </w:r>
      <w:proofErr w:type="spellStart"/>
      <w:r w:rsidRPr="000246DB">
        <w:rPr>
          <w:rFonts w:ascii="Arial" w:hAnsi="Arial" w:cs="Arial"/>
          <w:color w:val="000000"/>
          <w:rtl/>
        </w:rPr>
        <w:t>סא</w:t>
      </w:r>
      <w:proofErr w:type="spellEnd"/>
      <w:r w:rsidRPr="000246DB">
        <w:rPr>
          <w:rFonts w:ascii="Arial" w:hAnsi="Arial" w:cs="Arial"/>
          <w:color w:val="000000"/>
          <w:rtl/>
        </w:rPr>
        <w:t xml:space="preserve"> (תשנ"ב), 179-223</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סבתו, מ', "קריאת שמע של ר' ישמעאל ושל ר' אלעזר בן עזריה וההכרעה כבית הלל", </w:t>
      </w:r>
      <w:proofErr w:type="spellStart"/>
      <w:r w:rsidRPr="000246DB">
        <w:rPr>
          <w:rFonts w:ascii="Arial" w:hAnsi="Arial" w:cs="Arial"/>
          <w:color w:val="000000"/>
          <w:rtl/>
        </w:rPr>
        <w:t>סידרא</w:t>
      </w:r>
      <w:proofErr w:type="spellEnd"/>
      <w:r w:rsidRPr="000246DB">
        <w:rPr>
          <w:rFonts w:ascii="Arial" w:hAnsi="Arial" w:cs="Arial"/>
          <w:color w:val="000000"/>
          <w:rtl/>
        </w:rPr>
        <w:t xml:space="preserve"> </w:t>
      </w:r>
      <w:proofErr w:type="spellStart"/>
      <w:r w:rsidRPr="000246DB">
        <w:rPr>
          <w:rFonts w:ascii="Arial" w:hAnsi="Arial" w:cs="Arial"/>
          <w:color w:val="000000"/>
          <w:rtl/>
        </w:rPr>
        <w:t>כב</w:t>
      </w:r>
      <w:proofErr w:type="spellEnd"/>
      <w:r w:rsidRPr="000246DB">
        <w:rPr>
          <w:rFonts w:ascii="Arial" w:hAnsi="Arial" w:cs="Arial"/>
          <w:color w:val="000000"/>
          <w:rtl/>
        </w:rPr>
        <w:t xml:space="preserve"> (תשס"ז), עמ' 41-55</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ספראי</w:t>
      </w:r>
      <w:proofErr w:type="spellEnd"/>
      <w:r w:rsidRPr="000246DB">
        <w:rPr>
          <w:rFonts w:ascii="Arial" w:hAnsi="Arial" w:cs="Arial"/>
          <w:color w:val="000000"/>
          <w:rtl/>
        </w:rPr>
        <w:t>, ש', "משנת חסידים ואנשי מעשה", והנה אין יוסף – קובץ לזכרו של יוסף אמוראי, תל-אביב תשל"ג, עמ' 136-153</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ספראי</w:t>
      </w:r>
      <w:proofErr w:type="spellEnd"/>
      <w:r w:rsidRPr="000246DB">
        <w:rPr>
          <w:rFonts w:ascii="Arial" w:hAnsi="Arial" w:cs="Arial"/>
          <w:color w:val="000000"/>
          <w:rtl/>
        </w:rPr>
        <w:t xml:space="preserve">, ש', "ההכרעה כבית הלל ביבנה", </w:t>
      </w:r>
      <w:proofErr w:type="spellStart"/>
      <w:r w:rsidRPr="000246DB">
        <w:rPr>
          <w:rFonts w:ascii="Arial" w:hAnsi="Arial" w:cs="Arial"/>
          <w:color w:val="000000"/>
          <w:rtl/>
        </w:rPr>
        <w:t>דקעלה"י</w:t>
      </w:r>
      <w:proofErr w:type="spellEnd"/>
      <w:r w:rsidRPr="000246DB">
        <w:rPr>
          <w:rFonts w:ascii="Arial" w:hAnsi="Arial" w:cs="Arial"/>
          <w:color w:val="000000"/>
          <w:rtl/>
        </w:rPr>
        <w:t xml:space="preserve"> השביעי (תשמ"א), ג, עמ' 21-44</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ספראי</w:t>
      </w:r>
      <w:proofErr w:type="spellEnd"/>
      <w:r w:rsidRPr="000246DB">
        <w:rPr>
          <w:rFonts w:ascii="Arial" w:hAnsi="Arial" w:cs="Arial"/>
          <w:color w:val="000000"/>
          <w:rtl/>
        </w:rPr>
        <w:t>, ש', "חסידים ואנשי מעשה", ציון נ (תשמ"ה), עמ' 133-154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פרדו, ד', תוספתא עם פירוש חסדי דוד, ב, </w:t>
      </w:r>
      <w:proofErr w:type="spellStart"/>
      <w:r w:rsidRPr="000246DB">
        <w:rPr>
          <w:rFonts w:ascii="Arial" w:hAnsi="Arial" w:cs="Arial"/>
          <w:color w:val="000000"/>
          <w:rtl/>
        </w:rPr>
        <w:t>ליוורנו</w:t>
      </w:r>
      <w:proofErr w:type="spellEnd"/>
      <w:r w:rsidRPr="000246DB">
        <w:rPr>
          <w:rFonts w:ascii="Arial" w:hAnsi="Arial" w:cs="Arial"/>
          <w:color w:val="000000"/>
          <w:rtl/>
        </w:rPr>
        <w:t xml:space="preserve"> תקל"ו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פרידמן, ש', "ברייתות שבתלמוד הבבלי ויחסן למקבילותיהן בתוספתא", עטרה לחיים, מחקרים בספרות התלמודית והרבנית לכבוד פרופ' </w:t>
      </w:r>
      <w:proofErr w:type="spellStart"/>
      <w:r w:rsidRPr="000246DB">
        <w:rPr>
          <w:rFonts w:ascii="Arial" w:hAnsi="Arial" w:cs="Arial"/>
          <w:color w:val="000000"/>
          <w:rtl/>
        </w:rPr>
        <w:t>ח"ז</w:t>
      </w:r>
      <w:proofErr w:type="spellEnd"/>
      <w:r w:rsidRPr="000246DB">
        <w:rPr>
          <w:rFonts w:ascii="Arial" w:hAnsi="Arial" w:cs="Arial"/>
          <w:color w:val="000000"/>
          <w:rtl/>
        </w:rPr>
        <w:t xml:space="preserve"> </w:t>
      </w:r>
      <w:proofErr w:type="spellStart"/>
      <w:r w:rsidRPr="000246DB">
        <w:rPr>
          <w:rFonts w:ascii="Arial" w:hAnsi="Arial" w:cs="Arial"/>
          <w:color w:val="000000"/>
          <w:rtl/>
        </w:rPr>
        <w:t>דימיטרובסקי</w:t>
      </w:r>
      <w:proofErr w:type="spellEnd"/>
      <w:r w:rsidRPr="000246DB">
        <w:rPr>
          <w:rFonts w:ascii="Arial" w:hAnsi="Arial" w:cs="Arial"/>
          <w:color w:val="000000"/>
          <w:rtl/>
        </w:rPr>
        <w:t xml:space="preserve">, עורכים ד' </w:t>
      </w:r>
      <w:proofErr w:type="spellStart"/>
      <w:r w:rsidRPr="000246DB">
        <w:rPr>
          <w:rFonts w:ascii="Arial" w:hAnsi="Arial" w:cs="Arial"/>
          <w:color w:val="000000"/>
          <w:rtl/>
        </w:rPr>
        <w:t>בויארין</w:t>
      </w:r>
      <w:proofErr w:type="spellEnd"/>
      <w:r w:rsidRPr="000246DB">
        <w:rPr>
          <w:rFonts w:ascii="Arial" w:hAnsi="Arial" w:cs="Arial"/>
          <w:color w:val="000000"/>
          <w:rtl/>
        </w:rPr>
        <w:t xml:space="preserve">, מ' </w:t>
      </w:r>
      <w:proofErr w:type="spellStart"/>
      <w:r w:rsidRPr="000246DB">
        <w:rPr>
          <w:rFonts w:ascii="Arial" w:hAnsi="Arial" w:cs="Arial"/>
          <w:color w:val="000000"/>
          <w:rtl/>
        </w:rPr>
        <w:t>הירשמן</w:t>
      </w:r>
      <w:proofErr w:type="spellEnd"/>
      <w:r w:rsidRPr="000246DB">
        <w:rPr>
          <w:rFonts w:ascii="Arial" w:hAnsi="Arial" w:cs="Arial"/>
          <w:color w:val="000000"/>
          <w:rtl/>
        </w:rPr>
        <w:t>, ש"י פרידמן ואחרים, ירושלים תש"ס, עמ' 163-201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פרידמן, ש"י, תוספתא </w:t>
      </w:r>
      <w:proofErr w:type="spellStart"/>
      <w:r w:rsidRPr="000246DB">
        <w:rPr>
          <w:rFonts w:ascii="Arial" w:hAnsi="Arial" w:cs="Arial"/>
          <w:color w:val="000000"/>
          <w:rtl/>
        </w:rPr>
        <w:t>עתיקתא</w:t>
      </w:r>
      <w:proofErr w:type="spellEnd"/>
      <w:r w:rsidRPr="000246DB">
        <w:rPr>
          <w:rFonts w:ascii="Arial" w:hAnsi="Arial" w:cs="Arial"/>
          <w:color w:val="000000"/>
          <w:rtl/>
        </w:rPr>
        <w:t xml:space="preserve">, מסכת פסח ראשון: מקבילות המשנה </w:t>
      </w:r>
      <w:proofErr w:type="spellStart"/>
      <w:r w:rsidRPr="000246DB">
        <w:rPr>
          <w:rFonts w:ascii="Arial" w:hAnsi="Arial" w:cs="Arial"/>
          <w:color w:val="000000"/>
          <w:rtl/>
        </w:rPr>
        <w:t>והתוספתא</w:t>
      </w:r>
      <w:proofErr w:type="spellEnd"/>
      <w:r w:rsidRPr="000246DB">
        <w:rPr>
          <w:rFonts w:ascii="Arial" w:hAnsi="Arial" w:cs="Arial"/>
          <w:color w:val="000000"/>
          <w:rtl/>
        </w:rPr>
        <w:t xml:space="preserve"> ופירושן, בצירוף מבוא כללי, רמת-גן 2002</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000000"/>
          <w:rtl/>
        </w:rPr>
        <w:t>קנוהל</w:t>
      </w:r>
      <w:proofErr w:type="spellEnd"/>
      <w:r w:rsidRPr="000246DB">
        <w:rPr>
          <w:rFonts w:ascii="Arial" w:hAnsi="Arial" w:cs="Arial"/>
          <w:color w:val="000000"/>
          <w:rtl/>
        </w:rPr>
        <w:t xml:space="preserve">, י', 'פרשה שיש בה קיבול מלכות שמים'", תרביץ, </w:t>
      </w:r>
      <w:proofErr w:type="spellStart"/>
      <w:r w:rsidRPr="000246DB">
        <w:rPr>
          <w:rFonts w:ascii="Arial" w:hAnsi="Arial" w:cs="Arial"/>
          <w:color w:val="000000"/>
          <w:rtl/>
        </w:rPr>
        <w:t>נג</w:t>
      </w:r>
      <w:proofErr w:type="spellEnd"/>
      <w:r w:rsidRPr="000246DB">
        <w:rPr>
          <w:rFonts w:ascii="Arial" w:hAnsi="Arial" w:cs="Arial"/>
          <w:color w:val="000000"/>
          <w:rtl/>
        </w:rPr>
        <w:t xml:space="preserve"> (תשמ"ד), עמ' 11-31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קצוף, ב', "יחס הברייתות בתוספתא למקבילותיהן התלמודיות: עיון מחודש לאור מסכת ברכות",</w:t>
      </w:r>
      <w:r w:rsidRPr="000246DB">
        <w:rPr>
          <w:rStyle w:val="apple-converted-space"/>
          <w:rFonts w:ascii="Arial" w:hAnsi="Arial" w:cs="Arial"/>
          <w:color w:val="000000"/>
          <w:rtl/>
        </w:rPr>
        <w:t> </w:t>
      </w:r>
      <w:r w:rsidRPr="000246DB">
        <w:rPr>
          <w:rStyle w:val="ac"/>
          <w:rFonts w:ascii="Arial" w:hAnsi="Arial" w:cs="Arial"/>
          <w:color w:val="000000"/>
        </w:rPr>
        <w:t>HUCA</w:t>
      </w:r>
      <w:r w:rsidRPr="000246DB">
        <w:rPr>
          <w:rStyle w:val="apple-converted-space"/>
          <w:rFonts w:ascii="Arial" w:hAnsi="Arial" w:cs="Arial"/>
          <w:color w:val="000000"/>
        </w:rPr>
        <w:t> </w:t>
      </w:r>
      <w:r w:rsidRPr="000246DB">
        <w:rPr>
          <w:rFonts w:ascii="Arial" w:hAnsi="Arial" w:cs="Arial"/>
          <w:color w:val="000000"/>
        </w:rPr>
        <w:t>75 (2004)</w:t>
      </w:r>
      <w:r w:rsidRPr="000246DB">
        <w:rPr>
          <w:rFonts w:ascii="Arial" w:hAnsi="Arial" w:cs="Arial"/>
          <w:color w:val="000000"/>
          <w:rtl/>
        </w:rPr>
        <w:t>, עמ' א-כד</w:t>
      </w:r>
    </w:p>
    <w:p w:rsidR="000246DB" w:rsidRPr="00CF2773" w:rsidRDefault="000246DB" w:rsidP="000246DB">
      <w:pPr>
        <w:numPr>
          <w:ilvl w:val="0"/>
          <w:numId w:val="6"/>
        </w:numPr>
        <w:spacing w:before="100" w:beforeAutospacing="1" w:after="100" w:afterAutospacing="1"/>
        <w:rPr>
          <w:rFonts w:ascii="Arial" w:hAnsi="Arial" w:cs="Arial"/>
          <w:color w:val="222222"/>
        </w:rPr>
      </w:pPr>
      <w:r w:rsidRPr="000246DB">
        <w:rPr>
          <w:rFonts w:ascii="Arial" w:hAnsi="Arial" w:cs="Arial"/>
          <w:color w:val="000000"/>
          <w:rtl/>
        </w:rPr>
        <w:t>קצוף, ב', "על ברכת המצוות בארץ ישראל ובבבל: בעקבות מאמרו של דוד רוזנטל 'על ברכות התפילין בארץ ישראל ובבבל'",</w:t>
      </w:r>
      <w:r w:rsidRPr="000246DB">
        <w:rPr>
          <w:rStyle w:val="apple-converted-space"/>
          <w:rFonts w:ascii="Arial" w:hAnsi="Arial" w:cs="Arial"/>
          <w:color w:val="000000"/>
          <w:rtl/>
        </w:rPr>
        <w:t> </w:t>
      </w:r>
      <w:r w:rsidRPr="000246DB">
        <w:rPr>
          <w:rStyle w:val="ac"/>
          <w:rFonts w:ascii="Arial" w:hAnsi="Arial" w:cs="Arial"/>
          <w:color w:val="000000"/>
          <w:rtl/>
        </w:rPr>
        <w:t>תרביץ</w:t>
      </w:r>
      <w:r w:rsidRPr="000246DB">
        <w:rPr>
          <w:rStyle w:val="apple-converted-space"/>
          <w:rFonts w:ascii="Arial" w:hAnsi="Arial" w:cs="Arial"/>
          <w:color w:val="000000"/>
          <w:rtl/>
        </w:rPr>
        <w:t> </w:t>
      </w:r>
      <w:r w:rsidRPr="000246DB">
        <w:rPr>
          <w:rFonts w:ascii="Arial" w:hAnsi="Arial" w:cs="Arial"/>
          <w:color w:val="000000"/>
          <w:rtl/>
        </w:rPr>
        <w:t>עט (תשע"א), עמ' 385-387</w:t>
      </w:r>
    </w:p>
    <w:p w:rsidR="00CF2773" w:rsidRPr="000246DB" w:rsidRDefault="00CF2773" w:rsidP="000246DB">
      <w:pPr>
        <w:numPr>
          <w:ilvl w:val="0"/>
          <w:numId w:val="6"/>
        </w:numPr>
        <w:spacing w:before="100" w:beforeAutospacing="1" w:after="100" w:afterAutospacing="1"/>
        <w:rPr>
          <w:rFonts w:ascii="Arial" w:hAnsi="Arial" w:cs="Arial"/>
          <w:color w:val="222222"/>
          <w:rtl/>
        </w:rPr>
      </w:pPr>
      <w:r>
        <w:rPr>
          <w:rFonts w:ascii="Arial" w:hAnsi="Arial" w:cs="Arial" w:hint="cs"/>
          <w:color w:val="000000"/>
          <w:rtl/>
        </w:rPr>
        <w:t xml:space="preserve">קצוף, ב', "קטעי כריכה של תוספתא נדרים </w:t>
      </w:r>
      <w:proofErr w:type="spellStart"/>
      <w:r>
        <w:rPr>
          <w:rFonts w:ascii="Arial" w:hAnsi="Arial" w:cs="Arial" w:hint="cs"/>
          <w:color w:val="000000"/>
          <w:rtl/>
        </w:rPr>
        <w:t>מנורצ'יה</w:t>
      </w:r>
      <w:proofErr w:type="spellEnd"/>
      <w:r>
        <w:rPr>
          <w:rFonts w:ascii="Arial" w:hAnsi="Arial" w:cs="Arial" w:hint="cs"/>
          <w:color w:val="000000"/>
          <w:rtl/>
        </w:rPr>
        <w:t xml:space="preserve"> ומקומם במסורת הנוסח", </w:t>
      </w:r>
      <w:r w:rsidRPr="003A7CC3">
        <w:rPr>
          <w:rFonts w:asciiTheme="majorBidi" w:hAnsiTheme="majorBidi" w:cstheme="majorBidi"/>
          <w:i/>
          <w:iCs/>
        </w:rPr>
        <w:t>JSIJ</w:t>
      </w:r>
      <w:r w:rsidRPr="001949CC">
        <w:rPr>
          <w:rFonts w:asciiTheme="majorBidi" w:hAnsiTheme="majorBidi" w:cstheme="majorBidi"/>
          <w:iCs/>
        </w:rPr>
        <w:t xml:space="preserve"> 1</w:t>
      </w:r>
      <w:r>
        <w:rPr>
          <w:rFonts w:asciiTheme="majorBidi" w:hAnsiTheme="majorBidi" w:cstheme="majorBidi"/>
          <w:iCs/>
        </w:rPr>
        <w:t>5</w:t>
      </w:r>
      <w:r w:rsidRPr="001949CC">
        <w:rPr>
          <w:rFonts w:asciiTheme="majorBidi" w:hAnsiTheme="majorBidi" w:cstheme="majorBidi"/>
          <w:iCs/>
        </w:rPr>
        <w:t xml:space="preserve"> (201</w:t>
      </w:r>
      <w:r>
        <w:rPr>
          <w:rFonts w:asciiTheme="majorBidi" w:hAnsiTheme="majorBidi" w:cstheme="majorBidi"/>
          <w:iCs/>
        </w:rPr>
        <w:t>9</w:t>
      </w:r>
      <w:r w:rsidRPr="001949CC">
        <w:rPr>
          <w:rFonts w:asciiTheme="majorBidi" w:hAnsiTheme="majorBidi" w:cstheme="majorBidi"/>
          <w:iCs/>
        </w:rPr>
        <w:t>)</w:t>
      </w:r>
      <w:r>
        <w:rPr>
          <w:rFonts w:asciiTheme="majorBidi" w:hAnsiTheme="majorBidi" w:cstheme="majorBidi" w:hint="cs"/>
          <w:iCs/>
          <w:rtl/>
        </w:rPr>
        <w:t xml:space="preserve">, </w:t>
      </w:r>
      <w:r w:rsidRPr="00CF2773">
        <w:rPr>
          <w:rFonts w:asciiTheme="majorBidi" w:hAnsiTheme="majorBidi" w:cstheme="majorBidi" w:hint="cs"/>
          <w:i/>
          <w:rtl/>
        </w:rPr>
        <w:t>1-17</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xml:space="preserve">רוזנטל, ד', משנה עבודה זרה – מהדורה </w:t>
      </w:r>
      <w:proofErr w:type="spellStart"/>
      <w:r w:rsidRPr="000246DB">
        <w:rPr>
          <w:rFonts w:ascii="Arial" w:hAnsi="Arial" w:cs="Arial"/>
          <w:color w:val="000000"/>
          <w:rtl/>
        </w:rPr>
        <w:t>בקורתית</w:t>
      </w:r>
      <w:proofErr w:type="spellEnd"/>
      <w:r w:rsidRPr="000246DB">
        <w:rPr>
          <w:rFonts w:ascii="Arial" w:hAnsi="Arial" w:cs="Arial"/>
          <w:color w:val="000000"/>
          <w:rtl/>
        </w:rPr>
        <w:t xml:space="preserve"> בצירוף מבוא (עבודת דוקטור), ירושלים תשמ"א</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רוזנטל, ד',  "על שלב נוסף בתולדות נוסח המשנה", תרביץ, פא (תשע"ג), עמ' 47-60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tl/>
        </w:rPr>
        <w:t>רוזנטל, י', 'על נספחים ומקומם בתוספתא',</w:t>
      </w:r>
      <w:r w:rsidRPr="000246DB">
        <w:rPr>
          <w:rStyle w:val="apple-converted-space"/>
          <w:rFonts w:ascii="Arial" w:hAnsi="Arial" w:cs="Arial"/>
          <w:color w:val="222222"/>
          <w:rtl/>
        </w:rPr>
        <w:t> </w:t>
      </w:r>
      <w:r w:rsidRPr="000246DB">
        <w:rPr>
          <w:rStyle w:val="ac"/>
          <w:rFonts w:ascii="Arial" w:hAnsi="Arial" w:cs="Arial"/>
          <w:color w:val="222222"/>
          <w:rtl/>
        </w:rPr>
        <w:t>תרביץ</w:t>
      </w:r>
      <w:r w:rsidRPr="000246DB">
        <w:rPr>
          <w:rFonts w:ascii="Arial" w:hAnsi="Arial" w:cs="Arial"/>
          <w:color w:val="222222"/>
          <w:rtl/>
        </w:rPr>
        <w:t>, עט (תש"ע-תשע"א). עמ' 187-228</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tl/>
        </w:rPr>
        <w:t xml:space="preserve">שמש, א', "ברכת המזון – שלוש או ארבע", </w:t>
      </w:r>
      <w:proofErr w:type="spellStart"/>
      <w:r w:rsidRPr="000246DB">
        <w:rPr>
          <w:rFonts w:ascii="Arial" w:hAnsi="Arial" w:cs="Arial"/>
          <w:color w:val="222222"/>
          <w:rtl/>
        </w:rPr>
        <w:t>סידרא</w:t>
      </w:r>
      <w:proofErr w:type="spellEnd"/>
      <w:r w:rsidRPr="000246DB">
        <w:rPr>
          <w:rFonts w:ascii="Arial" w:hAnsi="Arial" w:cs="Arial"/>
          <w:color w:val="222222"/>
          <w:rtl/>
        </w:rPr>
        <w:t xml:space="preserve"> יא (תשנ"ה), 153-166</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222222"/>
          <w:rtl/>
        </w:rPr>
        <w:t>שרמר</w:t>
      </w:r>
      <w:proofErr w:type="spellEnd"/>
      <w:r w:rsidRPr="000246DB">
        <w:rPr>
          <w:rFonts w:ascii="Arial" w:hAnsi="Arial" w:cs="Arial"/>
          <w:color w:val="222222"/>
          <w:rtl/>
        </w:rPr>
        <w:t>, ע', "למסורת נוסח התוספתא, עיון ראשוני בעקבות שאול ליברמן",</w:t>
      </w:r>
      <w:r w:rsidRPr="000246DB">
        <w:rPr>
          <w:rStyle w:val="apple-converted-space"/>
          <w:rFonts w:ascii="Arial" w:hAnsi="Arial" w:cs="Arial"/>
          <w:color w:val="222222"/>
          <w:rtl/>
        </w:rPr>
        <w:t> </w:t>
      </w:r>
      <w:r w:rsidRPr="000246DB">
        <w:rPr>
          <w:rStyle w:val="ac"/>
          <w:rFonts w:ascii="Arial" w:hAnsi="Arial" w:cs="Arial"/>
          <w:color w:val="222222"/>
        </w:rPr>
        <w:t>JSIJ</w:t>
      </w:r>
      <w:r w:rsidRPr="000246DB">
        <w:rPr>
          <w:rFonts w:ascii="Arial" w:hAnsi="Arial" w:cs="Arial"/>
          <w:color w:val="222222"/>
          <w:rtl/>
        </w:rPr>
        <w:t>, 1 (2002), עמ' 11-43,</w:t>
      </w:r>
      <w:r w:rsidRPr="000246DB">
        <w:rPr>
          <w:rStyle w:val="apple-converted-space"/>
          <w:rFonts w:ascii="Arial" w:hAnsi="Arial" w:cs="Arial"/>
          <w:color w:val="222222"/>
          <w:rtl/>
        </w:rPr>
        <w:t> </w:t>
      </w:r>
      <w:hyperlink r:id="rId8" w:history="1">
        <w:r w:rsidRPr="000246DB">
          <w:rPr>
            <w:rStyle w:val="Hyperlink"/>
            <w:rFonts w:ascii="Arial" w:hAnsi="Arial" w:cs="Arial"/>
          </w:rPr>
          <w:t>http://www.biu.ac.il/JS/JSIJ/1-2002/Schremer.doc</w:t>
        </w:r>
      </w:hyperlink>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Brody, R., Mishnah and Tosefta Studies, Jerusalem 2014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 xml:space="preserve">Elman, J. Y., "Babylonian </w:t>
      </w:r>
      <w:proofErr w:type="spellStart"/>
      <w:r w:rsidRPr="000246DB">
        <w:rPr>
          <w:rFonts w:ascii="Arial" w:hAnsi="Arial" w:cs="Arial"/>
          <w:color w:val="222222"/>
        </w:rPr>
        <w:t>Baraitot</w:t>
      </w:r>
      <w:proofErr w:type="spellEnd"/>
      <w:r w:rsidRPr="000246DB">
        <w:rPr>
          <w:rFonts w:ascii="Arial" w:hAnsi="Arial" w:cs="Arial"/>
          <w:color w:val="222222"/>
        </w:rPr>
        <w:t xml:space="preserve"> in the Tosefta and the Dialectology of Middle Hebrew",</w:t>
      </w:r>
      <w:r w:rsidRPr="000246DB">
        <w:rPr>
          <w:rStyle w:val="apple-converted-space"/>
          <w:rFonts w:ascii="Arial" w:hAnsi="Arial" w:cs="Arial"/>
          <w:color w:val="222222"/>
        </w:rPr>
        <w:t> </w:t>
      </w:r>
      <w:r w:rsidRPr="000246DB">
        <w:rPr>
          <w:rStyle w:val="ac"/>
          <w:rFonts w:ascii="Arial" w:hAnsi="Arial" w:cs="Arial"/>
          <w:color w:val="222222"/>
        </w:rPr>
        <w:t>AJSR</w:t>
      </w:r>
      <w:r w:rsidRPr="000246DB">
        <w:rPr>
          <w:rFonts w:ascii="Arial" w:hAnsi="Arial" w:cs="Arial"/>
          <w:color w:val="222222"/>
        </w:rPr>
        <w:t>, XVI (1991), pp. 1-29</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Elman, J. Y.,</w:t>
      </w:r>
      <w:r w:rsidRPr="000246DB">
        <w:rPr>
          <w:rStyle w:val="apple-converted-space"/>
          <w:rFonts w:ascii="Arial" w:hAnsi="Arial" w:cs="Arial"/>
          <w:color w:val="222222"/>
        </w:rPr>
        <w:t> </w:t>
      </w:r>
      <w:r w:rsidRPr="000246DB">
        <w:rPr>
          <w:rStyle w:val="ac"/>
          <w:rFonts w:ascii="Arial" w:hAnsi="Arial" w:cs="Arial"/>
          <w:color w:val="222222"/>
        </w:rPr>
        <w:t xml:space="preserve">Authority and Tradition: </w:t>
      </w:r>
      <w:proofErr w:type="spellStart"/>
      <w:r w:rsidRPr="000246DB">
        <w:rPr>
          <w:rStyle w:val="ac"/>
          <w:rFonts w:ascii="Arial" w:hAnsi="Arial" w:cs="Arial"/>
          <w:color w:val="222222"/>
        </w:rPr>
        <w:t>Toseftan</w:t>
      </w:r>
      <w:proofErr w:type="spellEnd"/>
      <w:r w:rsidRPr="000246DB">
        <w:rPr>
          <w:rStyle w:val="ac"/>
          <w:rFonts w:ascii="Arial" w:hAnsi="Arial" w:cs="Arial"/>
          <w:color w:val="222222"/>
        </w:rPr>
        <w:t xml:space="preserve"> </w:t>
      </w:r>
      <w:proofErr w:type="spellStart"/>
      <w:r w:rsidRPr="000246DB">
        <w:rPr>
          <w:rStyle w:val="ac"/>
          <w:rFonts w:ascii="Arial" w:hAnsi="Arial" w:cs="Arial"/>
          <w:color w:val="222222"/>
        </w:rPr>
        <w:t>Baraitot</w:t>
      </w:r>
      <w:proofErr w:type="spellEnd"/>
      <w:r w:rsidRPr="000246DB">
        <w:rPr>
          <w:rStyle w:val="ac"/>
          <w:rFonts w:ascii="Arial" w:hAnsi="Arial" w:cs="Arial"/>
          <w:color w:val="222222"/>
        </w:rPr>
        <w:t xml:space="preserve"> in Talmudic Babylonia</w:t>
      </w:r>
      <w:r w:rsidRPr="000246DB">
        <w:rPr>
          <w:rFonts w:ascii="Arial" w:hAnsi="Arial" w:cs="Arial"/>
          <w:color w:val="222222"/>
        </w:rPr>
        <w:t>, New-York 1994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Goldberg, A., "The Tosefta – Companion to the Mishna",</w:t>
      </w:r>
      <w:r w:rsidRPr="000246DB">
        <w:rPr>
          <w:rStyle w:val="apple-converted-space"/>
          <w:rFonts w:ascii="Arial" w:hAnsi="Arial" w:cs="Arial"/>
          <w:color w:val="222222"/>
        </w:rPr>
        <w:t> </w:t>
      </w:r>
      <w:r w:rsidRPr="000246DB">
        <w:rPr>
          <w:rStyle w:val="ac"/>
          <w:rFonts w:ascii="Arial" w:hAnsi="Arial" w:cs="Arial"/>
          <w:color w:val="222222"/>
        </w:rPr>
        <w:t>The Literature of the Sages</w:t>
      </w:r>
      <w:r w:rsidRPr="000246DB">
        <w:rPr>
          <w:rFonts w:ascii="Arial" w:hAnsi="Arial" w:cs="Arial"/>
          <w:color w:val="222222"/>
        </w:rPr>
        <w:t xml:space="preserve">, I, ed. S. </w:t>
      </w:r>
      <w:proofErr w:type="spellStart"/>
      <w:r w:rsidRPr="000246DB">
        <w:rPr>
          <w:rFonts w:ascii="Arial" w:hAnsi="Arial" w:cs="Arial"/>
          <w:color w:val="222222"/>
        </w:rPr>
        <w:t>Safrai</w:t>
      </w:r>
      <w:proofErr w:type="spellEnd"/>
      <w:r w:rsidRPr="000246DB">
        <w:rPr>
          <w:rFonts w:ascii="Arial" w:hAnsi="Arial" w:cs="Arial"/>
          <w:color w:val="222222"/>
        </w:rPr>
        <w:t xml:space="preserve">, Philadelphia and </w:t>
      </w:r>
      <w:proofErr w:type="spellStart"/>
      <w:r w:rsidRPr="000246DB">
        <w:rPr>
          <w:rFonts w:ascii="Arial" w:hAnsi="Arial" w:cs="Arial"/>
          <w:color w:val="222222"/>
        </w:rPr>
        <w:t>Assen</w:t>
      </w:r>
      <w:proofErr w:type="spellEnd"/>
      <w:r w:rsidRPr="000246DB">
        <w:rPr>
          <w:rFonts w:ascii="Arial" w:hAnsi="Arial" w:cs="Arial"/>
          <w:color w:val="222222"/>
        </w:rPr>
        <w:t xml:space="preserve"> 1987, pp. 283-302</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Hauptman, J.,</w:t>
      </w:r>
      <w:r w:rsidRPr="000246DB">
        <w:rPr>
          <w:rStyle w:val="apple-converted-space"/>
          <w:rFonts w:ascii="Arial" w:hAnsi="Arial" w:cs="Arial"/>
          <w:color w:val="222222"/>
        </w:rPr>
        <w:t> </w:t>
      </w:r>
      <w:r w:rsidRPr="000246DB">
        <w:rPr>
          <w:rStyle w:val="ac"/>
          <w:rFonts w:ascii="Arial" w:hAnsi="Arial" w:cs="Arial"/>
          <w:color w:val="222222"/>
        </w:rPr>
        <w:t>Rereading the Mishnah, A New Approach to Ancient Jewish Text,</w:t>
      </w:r>
      <w:r w:rsidRPr="000246DB">
        <w:rPr>
          <w:rStyle w:val="apple-converted-space"/>
          <w:rFonts w:ascii="Arial" w:hAnsi="Arial" w:cs="Arial"/>
          <w:color w:val="222222"/>
        </w:rPr>
        <w:t> </w:t>
      </w:r>
      <w:proofErr w:type="spellStart"/>
      <w:r w:rsidRPr="000246DB">
        <w:rPr>
          <w:rFonts w:ascii="Arial" w:hAnsi="Arial" w:cs="Arial"/>
          <w:color w:val="222222"/>
        </w:rPr>
        <w:t>Tübingen</w:t>
      </w:r>
      <w:proofErr w:type="spellEnd"/>
      <w:r w:rsidRPr="000246DB">
        <w:rPr>
          <w:rFonts w:ascii="Arial" w:hAnsi="Arial" w:cs="Arial"/>
          <w:color w:val="222222"/>
        </w:rPr>
        <w:t xml:space="preserve"> 2005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 xml:space="preserve">Hauptman, </w:t>
      </w:r>
      <w:proofErr w:type="spellStart"/>
      <w:r w:rsidRPr="000246DB">
        <w:rPr>
          <w:rFonts w:ascii="Arial" w:hAnsi="Arial" w:cs="Arial"/>
          <w:color w:val="222222"/>
        </w:rPr>
        <w:t>J.,"The</w:t>
      </w:r>
      <w:proofErr w:type="spellEnd"/>
      <w:r w:rsidRPr="000246DB">
        <w:rPr>
          <w:rFonts w:ascii="Arial" w:hAnsi="Arial" w:cs="Arial"/>
          <w:color w:val="222222"/>
        </w:rPr>
        <w:t xml:space="preserve"> </w:t>
      </w:r>
      <w:proofErr w:type="spellStart"/>
      <w:r w:rsidRPr="000246DB">
        <w:rPr>
          <w:rFonts w:ascii="Arial" w:hAnsi="Arial" w:cs="Arial"/>
          <w:color w:val="222222"/>
        </w:rPr>
        <w:t>Tosfta</w:t>
      </w:r>
      <w:proofErr w:type="spellEnd"/>
      <w:r w:rsidRPr="000246DB">
        <w:rPr>
          <w:rFonts w:ascii="Arial" w:hAnsi="Arial" w:cs="Arial"/>
          <w:color w:val="222222"/>
        </w:rPr>
        <w:t xml:space="preserve"> as A Commentary on an Early Mishnah",</w:t>
      </w:r>
      <w:r w:rsidRPr="000246DB">
        <w:rPr>
          <w:rStyle w:val="apple-converted-space"/>
          <w:rFonts w:ascii="Arial" w:hAnsi="Arial" w:cs="Arial"/>
          <w:color w:val="222222"/>
        </w:rPr>
        <w:t> </w:t>
      </w:r>
      <w:r w:rsidRPr="000246DB">
        <w:rPr>
          <w:rStyle w:val="ac"/>
          <w:rFonts w:ascii="Arial" w:hAnsi="Arial" w:cs="Arial"/>
          <w:color w:val="222222"/>
        </w:rPr>
        <w:t>JSIJ,</w:t>
      </w:r>
      <w:r w:rsidRPr="000246DB">
        <w:rPr>
          <w:rStyle w:val="apple-converted-space"/>
          <w:rFonts w:ascii="Arial" w:hAnsi="Arial" w:cs="Arial"/>
          <w:color w:val="222222"/>
        </w:rPr>
        <w:t> </w:t>
      </w:r>
      <w:r w:rsidRPr="000246DB">
        <w:rPr>
          <w:rFonts w:ascii="Arial" w:hAnsi="Arial" w:cs="Arial"/>
          <w:color w:val="222222"/>
        </w:rPr>
        <w:t>4 (2005), pp. 109-132</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Katzoff, B., "'God of our Fathers': Rabbinic Liturgy and Jewish–Christian Engagement",</w:t>
      </w:r>
      <w:r w:rsidRPr="000246DB">
        <w:rPr>
          <w:rStyle w:val="apple-converted-space"/>
          <w:rFonts w:ascii="Arial" w:hAnsi="Arial" w:cs="Arial"/>
          <w:color w:val="222222"/>
        </w:rPr>
        <w:t> </w:t>
      </w:r>
      <w:r w:rsidRPr="000246DB">
        <w:rPr>
          <w:rStyle w:val="ac"/>
          <w:rFonts w:ascii="Arial" w:hAnsi="Arial" w:cs="Arial"/>
          <w:color w:val="222222"/>
        </w:rPr>
        <w:t>JQR</w:t>
      </w:r>
      <w:r w:rsidRPr="000246DB">
        <w:rPr>
          <w:rStyle w:val="apple-converted-space"/>
          <w:rFonts w:ascii="Arial" w:hAnsi="Arial" w:cs="Arial"/>
          <w:color w:val="222222"/>
        </w:rPr>
        <w:t> </w:t>
      </w:r>
      <w:r w:rsidRPr="000246DB">
        <w:rPr>
          <w:rFonts w:ascii="Arial" w:hAnsi="Arial" w:cs="Arial"/>
          <w:color w:val="222222"/>
        </w:rPr>
        <w:t>99 (2009), pp. 303-322</w:t>
      </w:r>
    </w:p>
    <w:p w:rsidR="000246DB" w:rsidRPr="00CF2773" w:rsidRDefault="000246DB" w:rsidP="000246DB">
      <w:pPr>
        <w:numPr>
          <w:ilvl w:val="0"/>
          <w:numId w:val="6"/>
        </w:numPr>
        <w:spacing w:before="100" w:beforeAutospacing="1" w:after="100" w:afterAutospacing="1"/>
        <w:rPr>
          <w:rFonts w:asciiTheme="minorBidi" w:hAnsiTheme="minorBidi" w:cstheme="minorBidi"/>
          <w:color w:val="222222"/>
          <w:rtl/>
        </w:rPr>
      </w:pPr>
      <w:r w:rsidRPr="000246DB">
        <w:rPr>
          <w:rFonts w:ascii="Arial" w:hAnsi="Arial" w:cs="Arial"/>
          <w:color w:val="222222"/>
        </w:rPr>
        <w:t>Katzoff, B</w:t>
      </w:r>
      <w:r w:rsidRPr="000246DB">
        <w:rPr>
          <w:rFonts w:ascii="Arial" w:hAnsi="Arial" w:cs="Arial"/>
          <w:color w:val="222222"/>
          <w:rtl/>
        </w:rPr>
        <w:t>., "</w:t>
      </w:r>
      <w:r w:rsidRPr="000246DB">
        <w:rPr>
          <w:rFonts w:ascii="Arial" w:hAnsi="Arial" w:cs="Arial"/>
          <w:color w:val="222222"/>
        </w:rPr>
        <w:t xml:space="preserve">A story in three contexts : the redaction of a </w:t>
      </w:r>
      <w:proofErr w:type="spellStart"/>
      <w:r w:rsidRPr="000246DB">
        <w:rPr>
          <w:rFonts w:ascii="Arial" w:hAnsi="Arial" w:cs="Arial"/>
          <w:color w:val="222222"/>
        </w:rPr>
        <w:t>Toseftan</w:t>
      </w:r>
      <w:proofErr w:type="spellEnd"/>
      <w:r w:rsidRPr="000246DB">
        <w:rPr>
          <w:rFonts w:ascii="Arial" w:hAnsi="Arial" w:cs="Arial"/>
          <w:color w:val="222222"/>
        </w:rPr>
        <w:t xml:space="preserve"> </w:t>
      </w:r>
      <w:proofErr w:type="spellStart"/>
      <w:r w:rsidRPr="000246DB">
        <w:rPr>
          <w:rFonts w:ascii="Arial" w:hAnsi="Arial" w:cs="Arial"/>
          <w:color w:val="222222"/>
        </w:rPr>
        <w:t>pericope</w:t>
      </w:r>
      <w:proofErr w:type="spellEnd"/>
      <w:r w:rsidRPr="000246DB">
        <w:rPr>
          <w:rFonts w:ascii="Arial" w:hAnsi="Arial" w:cs="Arial"/>
          <w:color w:val="222222"/>
        </w:rPr>
        <w:t>", AJS Review 38 (2014), pp. 109-12</w:t>
      </w:r>
      <w:r w:rsidRPr="00CF2773">
        <w:rPr>
          <w:rFonts w:asciiTheme="minorBidi" w:hAnsiTheme="minorBidi" w:cstheme="minorBidi"/>
          <w:color w:val="222222"/>
        </w:rPr>
        <w:t>7</w:t>
      </w:r>
    </w:p>
    <w:p w:rsidR="00CF2773" w:rsidRPr="00CF2773" w:rsidRDefault="00CF2773" w:rsidP="000246DB">
      <w:pPr>
        <w:numPr>
          <w:ilvl w:val="0"/>
          <w:numId w:val="6"/>
        </w:numPr>
        <w:spacing w:before="100" w:beforeAutospacing="1" w:after="100" w:afterAutospacing="1"/>
        <w:rPr>
          <w:rFonts w:asciiTheme="minorBidi" w:hAnsiTheme="minorBidi" w:cstheme="minorBidi"/>
          <w:color w:val="222222"/>
        </w:rPr>
      </w:pPr>
      <w:r w:rsidRPr="00CF2773">
        <w:rPr>
          <w:rFonts w:asciiTheme="minorBidi" w:hAnsiTheme="minorBidi" w:cstheme="minorBidi"/>
          <w:color w:val="222222"/>
        </w:rPr>
        <w:t xml:space="preserve">Katzoff, B., </w:t>
      </w:r>
      <w:r w:rsidRPr="00CF2773">
        <w:rPr>
          <w:rFonts w:asciiTheme="minorBidi" w:hAnsiTheme="minorBidi" w:cstheme="minorBidi"/>
          <w:iCs/>
        </w:rPr>
        <w:t xml:space="preserve">Was There a Separate Transmission of </w:t>
      </w:r>
      <w:r w:rsidRPr="00CF2773">
        <w:rPr>
          <w:rFonts w:asciiTheme="minorBidi" w:hAnsiTheme="minorBidi" w:cstheme="minorBidi"/>
        </w:rPr>
        <w:t>Tosefta</w:t>
      </w:r>
      <w:r w:rsidRPr="00CF2773">
        <w:rPr>
          <w:rFonts w:asciiTheme="minorBidi" w:hAnsiTheme="minorBidi" w:cstheme="minorBidi"/>
          <w:iCs/>
        </w:rPr>
        <w:t xml:space="preserve"> </w:t>
      </w:r>
      <w:proofErr w:type="spellStart"/>
      <w:r w:rsidRPr="00CF2773">
        <w:rPr>
          <w:rFonts w:asciiTheme="minorBidi" w:hAnsiTheme="minorBidi" w:cstheme="minorBidi"/>
          <w:iCs/>
        </w:rPr>
        <w:t>Tohorot</w:t>
      </w:r>
      <w:proofErr w:type="spellEnd"/>
      <w:r w:rsidRPr="00CF2773">
        <w:rPr>
          <w:rFonts w:asciiTheme="minorBidi" w:hAnsiTheme="minorBidi" w:cstheme="minorBidi"/>
          <w:iCs/>
        </w:rPr>
        <w:t>? Evidence from</w:t>
      </w:r>
      <w:r w:rsidRPr="00CF2773">
        <w:rPr>
          <w:rStyle w:val="apple-converted-space"/>
          <w:rFonts w:asciiTheme="minorBidi" w:hAnsiTheme="minorBidi" w:cstheme="minorBidi"/>
          <w:iCs/>
          <w:color w:val="000000"/>
          <w:shd w:val="clear" w:color="auto" w:fill="FFFFFF"/>
        </w:rPr>
        <w:t> </w:t>
      </w:r>
      <w:proofErr w:type="spellStart"/>
      <w:r w:rsidRPr="00CF2773">
        <w:rPr>
          <w:rFonts w:asciiTheme="minorBidi" w:hAnsiTheme="minorBidi" w:cstheme="minorBidi"/>
          <w:color w:val="000000"/>
          <w:shd w:val="clear" w:color="auto" w:fill="FFFFFF"/>
        </w:rPr>
        <w:t>rishonim</w:t>
      </w:r>
      <w:proofErr w:type="spellEnd"/>
      <w:r w:rsidRPr="00CF2773">
        <w:rPr>
          <w:rStyle w:val="apple-converted-space"/>
          <w:rFonts w:asciiTheme="minorBidi" w:hAnsiTheme="minorBidi" w:cstheme="minorBidi"/>
          <w:iCs/>
          <w:color w:val="000000"/>
          <w:shd w:val="clear" w:color="auto" w:fill="FFFFFF"/>
        </w:rPr>
        <w:t> </w:t>
      </w:r>
      <w:r w:rsidRPr="00CF2773">
        <w:rPr>
          <w:rFonts w:asciiTheme="minorBidi" w:hAnsiTheme="minorBidi" w:cstheme="minorBidi"/>
          <w:iCs/>
          <w:color w:val="000000"/>
          <w:shd w:val="clear" w:color="auto" w:fill="FFFFFF"/>
        </w:rPr>
        <w:t xml:space="preserve">and from fragments of the Cairo Geniza and 'European Geniza'", </w:t>
      </w:r>
      <w:r w:rsidRPr="00CF2773">
        <w:rPr>
          <w:rFonts w:asciiTheme="minorBidi" w:hAnsiTheme="minorBidi" w:cstheme="minorBidi"/>
          <w:color w:val="000000"/>
          <w:shd w:val="clear" w:color="auto" w:fill="FFFFFF"/>
        </w:rPr>
        <w:t>HUC</w:t>
      </w:r>
      <w:r w:rsidRPr="00CF2773">
        <w:rPr>
          <w:rFonts w:asciiTheme="minorBidi" w:hAnsiTheme="minorBidi" w:cstheme="minorBidi"/>
        </w:rPr>
        <w:t>A</w:t>
      </w:r>
      <w:r w:rsidRPr="00CF2773">
        <w:rPr>
          <w:rFonts w:asciiTheme="minorBidi" w:hAnsiTheme="minorBidi" w:cstheme="minorBidi"/>
          <w:iCs/>
        </w:rPr>
        <w:t xml:space="preserve"> 88 (2017), pp. 29-54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CF2773">
        <w:rPr>
          <w:rFonts w:asciiTheme="minorBidi" w:hAnsiTheme="minorBidi" w:cstheme="minorBidi"/>
          <w:color w:val="222222"/>
        </w:rPr>
        <w:lastRenderedPageBreak/>
        <w:t xml:space="preserve">Kraemer, D., “The Mishnah”, The Cambridge History of Judaism, IV </w:t>
      </w:r>
      <w:r w:rsidRPr="000246DB">
        <w:rPr>
          <w:rFonts w:ascii="Arial" w:hAnsi="Arial" w:cs="Arial"/>
          <w:color w:val="222222"/>
        </w:rPr>
        <w:t>(2006), pp. 299-31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Mandel, p., “The Tosefta”,</w:t>
      </w:r>
      <w:r w:rsidRPr="000246DB">
        <w:rPr>
          <w:rStyle w:val="apple-converted-space"/>
          <w:rFonts w:ascii="Arial" w:hAnsi="Arial" w:cs="Arial"/>
          <w:color w:val="222222"/>
        </w:rPr>
        <w:t> </w:t>
      </w:r>
      <w:r w:rsidRPr="000246DB">
        <w:rPr>
          <w:rFonts w:ascii="Arial" w:hAnsi="Arial" w:cs="Arial"/>
          <w:color w:val="222222"/>
        </w:rPr>
        <w:t>The Cambridge History of Judaism, IV (2006), pp. 316-335</w:t>
      </w:r>
    </w:p>
    <w:p w:rsidR="000246DB" w:rsidRPr="000246DB" w:rsidRDefault="000246DB" w:rsidP="000246DB">
      <w:pPr>
        <w:numPr>
          <w:ilvl w:val="0"/>
          <w:numId w:val="6"/>
        </w:numPr>
        <w:spacing w:before="100" w:beforeAutospacing="1" w:after="100" w:afterAutospacing="1"/>
        <w:rPr>
          <w:rFonts w:ascii="Arial" w:hAnsi="Arial" w:cs="Arial"/>
          <w:color w:val="222222"/>
          <w:rtl/>
        </w:rPr>
      </w:pPr>
      <w:proofErr w:type="spellStart"/>
      <w:r w:rsidRPr="000246DB">
        <w:rPr>
          <w:rFonts w:ascii="Arial" w:hAnsi="Arial" w:cs="Arial"/>
          <w:color w:val="222222"/>
        </w:rPr>
        <w:t>Walfish</w:t>
      </w:r>
      <w:proofErr w:type="spellEnd"/>
      <w:r w:rsidRPr="000246DB">
        <w:rPr>
          <w:rFonts w:ascii="Arial" w:hAnsi="Arial" w:cs="Arial"/>
          <w:color w:val="222222"/>
        </w:rPr>
        <w:t xml:space="preserve">, A., “Approaching the text and approaching God: the redaction of Mishnah and Tosefta </w:t>
      </w:r>
      <w:proofErr w:type="spellStart"/>
      <w:r w:rsidRPr="000246DB">
        <w:rPr>
          <w:rFonts w:ascii="Arial" w:hAnsi="Arial" w:cs="Arial"/>
          <w:color w:val="222222"/>
        </w:rPr>
        <w:t>Berakhot</w:t>
      </w:r>
      <w:proofErr w:type="spellEnd"/>
      <w:r w:rsidRPr="000246DB">
        <w:rPr>
          <w:rFonts w:ascii="Arial" w:hAnsi="Arial" w:cs="Arial"/>
          <w:color w:val="222222"/>
        </w:rPr>
        <w:t>”, Jewish Studies, 43 (2005-2006), pp. 21-79</w:t>
      </w:r>
    </w:p>
    <w:p w:rsidR="000246DB" w:rsidRPr="000246DB" w:rsidRDefault="000246DB" w:rsidP="000246DB">
      <w:pPr>
        <w:ind w:left="360"/>
        <w:rPr>
          <w:rFonts w:ascii="Arial" w:hAnsi="Arial" w:cs="Arial"/>
          <w:rtl/>
        </w:rPr>
      </w:pPr>
    </w:p>
    <w:p w:rsidR="00E32894" w:rsidRPr="000246DB" w:rsidRDefault="00E32894" w:rsidP="00E32894">
      <w:pPr>
        <w:rPr>
          <w:rFonts w:asciiTheme="minorBidi" w:hAnsiTheme="minorBidi" w:cstheme="minorBidi"/>
          <w:rtl/>
        </w:rPr>
      </w:pPr>
    </w:p>
    <w:p w:rsidR="00BE5A1F" w:rsidRPr="00E32894" w:rsidRDefault="00BE5A1F" w:rsidP="0064775D">
      <w:pPr>
        <w:jc w:val="both"/>
        <w:rPr>
          <w:rFonts w:asciiTheme="minorBidi" w:hAnsiTheme="minorBidi" w:cstheme="minorBidi"/>
          <w:rtl/>
        </w:rPr>
      </w:pPr>
    </w:p>
    <w:p w:rsidR="000E3CDE" w:rsidRPr="00E32894" w:rsidRDefault="007762FE" w:rsidP="000E3CDE">
      <w:pPr>
        <w:spacing w:line="360" w:lineRule="auto"/>
        <w:rPr>
          <w:rFonts w:asciiTheme="minorBidi" w:hAnsiTheme="minorBidi" w:cstheme="minorBidi"/>
          <w:b/>
          <w:bCs/>
          <w:rtl/>
        </w:rPr>
      </w:pPr>
      <w:r w:rsidRPr="00E32894">
        <w:rPr>
          <w:rFonts w:asciiTheme="minorBidi" w:hAnsiTheme="minorBidi" w:cstheme="minorBidi"/>
          <w:b/>
          <w:bCs/>
          <w:rtl/>
        </w:rPr>
        <w:t>ז</w:t>
      </w:r>
      <w:r w:rsidR="0064775D" w:rsidRPr="00E32894">
        <w:rPr>
          <w:rFonts w:asciiTheme="minorBidi" w:hAnsiTheme="minorBidi" w:cstheme="minorBidi"/>
          <w:b/>
          <w:bCs/>
          <w:rtl/>
        </w:rPr>
        <w:t>.</w:t>
      </w:r>
      <w:r w:rsidR="00D668F8" w:rsidRPr="00E32894">
        <w:rPr>
          <w:rFonts w:asciiTheme="minorBidi" w:hAnsiTheme="minorBidi" w:cstheme="minorBidi"/>
          <w:b/>
          <w:bCs/>
          <w:rtl/>
        </w:rPr>
        <w:t xml:space="preserve"> שם הקורס באנגלית</w:t>
      </w:r>
      <w:r w:rsidR="000E3CDE" w:rsidRPr="00E32894">
        <w:rPr>
          <w:rFonts w:asciiTheme="minorBidi" w:hAnsiTheme="minorBidi" w:cstheme="minorBidi"/>
          <w:b/>
          <w:bCs/>
          <w:rtl/>
        </w:rPr>
        <w:t>:</w:t>
      </w:r>
    </w:p>
    <w:p w:rsidR="000E3CDE" w:rsidRPr="00E32894" w:rsidRDefault="004D796B" w:rsidP="004D796B">
      <w:pPr>
        <w:spacing w:line="360" w:lineRule="auto"/>
        <w:rPr>
          <w:rFonts w:asciiTheme="minorBidi" w:hAnsiTheme="minorBidi" w:cstheme="minorBidi"/>
        </w:rPr>
      </w:pPr>
      <w:r w:rsidRPr="000246DB">
        <w:rPr>
          <w:rFonts w:ascii="Arial" w:hAnsi="Arial" w:cs="Arial"/>
          <w:color w:val="222222"/>
        </w:rPr>
        <w:t xml:space="preserve">Mishnah and Tosefta </w:t>
      </w:r>
      <w:proofErr w:type="spellStart"/>
      <w:r w:rsidRPr="000246DB">
        <w:rPr>
          <w:rFonts w:ascii="Arial" w:hAnsi="Arial" w:cs="Arial"/>
          <w:color w:val="222222"/>
        </w:rPr>
        <w:t>Berakhot</w:t>
      </w:r>
      <w:proofErr w:type="spellEnd"/>
      <w:r w:rsidRPr="00E32894">
        <w:rPr>
          <w:rFonts w:asciiTheme="minorBidi" w:hAnsiTheme="minorBidi" w:cstheme="minorBidi"/>
        </w:rPr>
        <w:t xml:space="preserve"> </w:t>
      </w:r>
    </w:p>
    <w:sectPr w:rsidR="000E3CDE" w:rsidRPr="00E32894"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2" w:rsidRDefault="005839B2">
      <w:r>
        <w:separator/>
      </w:r>
    </w:p>
  </w:endnote>
  <w:endnote w:type="continuationSeparator" w:id="0">
    <w:p w:rsidR="005839B2" w:rsidRDefault="0058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73596C">
      <w:rPr>
        <w:rStyle w:val="a6"/>
        <w:noProof/>
        <w:rtl/>
      </w:rPr>
      <w:t>5</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2" w:rsidRDefault="005839B2">
      <w:r>
        <w:separator/>
      </w:r>
    </w:p>
  </w:footnote>
  <w:footnote w:type="continuationSeparator" w:id="0">
    <w:p w:rsidR="005839B2" w:rsidRDefault="00583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5"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46DB"/>
    <w:rsid w:val="00027881"/>
    <w:rsid w:val="00030A9E"/>
    <w:rsid w:val="0006487D"/>
    <w:rsid w:val="00070A82"/>
    <w:rsid w:val="00076E1F"/>
    <w:rsid w:val="00082CAD"/>
    <w:rsid w:val="0008680D"/>
    <w:rsid w:val="00093FC6"/>
    <w:rsid w:val="000B26B8"/>
    <w:rsid w:val="000B2C53"/>
    <w:rsid w:val="000B2F90"/>
    <w:rsid w:val="000C6A16"/>
    <w:rsid w:val="000E3CDE"/>
    <w:rsid w:val="00122715"/>
    <w:rsid w:val="00122E41"/>
    <w:rsid w:val="00123F73"/>
    <w:rsid w:val="00146DE4"/>
    <w:rsid w:val="00171D0D"/>
    <w:rsid w:val="00181271"/>
    <w:rsid w:val="00182802"/>
    <w:rsid w:val="001878DC"/>
    <w:rsid w:val="001939F8"/>
    <w:rsid w:val="001B302D"/>
    <w:rsid w:val="001B41ED"/>
    <w:rsid w:val="001D7453"/>
    <w:rsid w:val="001D7E9E"/>
    <w:rsid w:val="001E009A"/>
    <w:rsid w:val="001E1DB6"/>
    <w:rsid w:val="00205067"/>
    <w:rsid w:val="00223C9F"/>
    <w:rsid w:val="002262E8"/>
    <w:rsid w:val="002307CC"/>
    <w:rsid w:val="002337B3"/>
    <w:rsid w:val="00271BBC"/>
    <w:rsid w:val="002734D8"/>
    <w:rsid w:val="002935ED"/>
    <w:rsid w:val="002A1569"/>
    <w:rsid w:val="002A3074"/>
    <w:rsid w:val="002B1893"/>
    <w:rsid w:val="002C2943"/>
    <w:rsid w:val="002E026B"/>
    <w:rsid w:val="002E1F74"/>
    <w:rsid w:val="002F6D62"/>
    <w:rsid w:val="00305692"/>
    <w:rsid w:val="00322AE9"/>
    <w:rsid w:val="00323F70"/>
    <w:rsid w:val="003269AC"/>
    <w:rsid w:val="00346DFC"/>
    <w:rsid w:val="00347951"/>
    <w:rsid w:val="00347CA4"/>
    <w:rsid w:val="00352BD1"/>
    <w:rsid w:val="00354D18"/>
    <w:rsid w:val="00367708"/>
    <w:rsid w:val="00382BCD"/>
    <w:rsid w:val="00390F95"/>
    <w:rsid w:val="003A2F0F"/>
    <w:rsid w:val="003A40A8"/>
    <w:rsid w:val="003A7CC3"/>
    <w:rsid w:val="003C070F"/>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D796B"/>
    <w:rsid w:val="004E46A0"/>
    <w:rsid w:val="004F37BA"/>
    <w:rsid w:val="00505345"/>
    <w:rsid w:val="00521FB9"/>
    <w:rsid w:val="00536471"/>
    <w:rsid w:val="00542B3D"/>
    <w:rsid w:val="005531F5"/>
    <w:rsid w:val="005569F1"/>
    <w:rsid w:val="005577F8"/>
    <w:rsid w:val="00561AC5"/>
    <w:rsid w:val="0056310C"/>
    <w:rsid w:val="0056603E"/>
    <w:rsid w:val="005750D4"/>
    <w:rsid w:val="005761AC"/>
    <w:rsid w:val="005839B2"/>
    <w:rsid w:val="00587EEB"/>
    <w:rsid w:val="00590E92"/>
    <w:rsid w:val="005A047F"/>
    <w:rsid w:val="005A7AFC"/>
    <w:rsid w:val="005B0C90"/>
    <w:rsid w:val="005B3CA2"/>
    <w:rsid w:val="005C11F9"/>
    <w:rsid w:val="005E1373"/>
    <w:rsid w:val="005F7E61"/>
    <w:rsid w:val="006068ED"/>
    <w:rsid w:val="00610B42"/>
    <w:rsid w:val="00611C6A"/>
    <w:rsid w:val="0061202C"/>
    <w:rsid w:val="006127B6"/>
    <w:rsid w:val="006158C7"/>
    <w:rsid w:val="00637B1C"/>
    <w:rsid w:val="0064775D"/>
    <w:rsid w:val="00653DDF"/>
    <w:rsid w:val="00657033"/>
    <w:rsid w:val="00666C81"/>
    <w:rsid w:val="00670D04"/>
    <w:rsid w:val="006741E1"/>
    <w:rsid w:val="0069345E"/>
    <w:rsid w:val="006A5509"/>
    <w:rsid w:val="006C0BBA"/>
    <w:rsid w:val="006C5E5F"/>
    <w:rsid w:val="006F3984"/>
    <w:rsid w:val="00700320"/>
    <w:rsid w:val="0070271F"/>
    <w:rsid w:val="00703DBD"/>
    <w:rsid w:val="00717B12"/>
    <w:rsid w:val="00720048"/>
    <w:rsid w:val="00721EC7"/>
    <w:rsid w:val="00722A06"/>
    <w:rsid w:val="007242E6"/>
    <w:rsid w:val="00730EC2"/>
    <w:rsid w:val="007313DA"/>
    <w:rsid w:val="0073596C"/>
    <w:rsid w:val="00750ED3"/>
    <w:rsid w:val="007661B5"/>
    <w:rsid w:val="007704EE"/>
    <w:rsid w:val="007762FE"/>
    <w:rsid w:val="007916EC"/>
    <w:rsid w:val="007A0B4D"/>
    <w:rsid w:val="007A63CE"/>
    <w:rsid w:val="007E1586"/>
    <w:rsid w:val="007F3790"/>
    <w:rsid w:val="007F3B93"/>
    <w:rsid w:val="007F44AE"/>
    <w:rsid w:val="007F556A"/>
    <w:rsid w:val="007F67F0"/>
    <w:rsid w:val="008253BE"/>
    <w:rsid w:val="00826ACA"/>
    <w:rsid w:val="00830646"/>
    <w:rsid w:val="0083178C"/>
    <w:rsid w:val="00837A44"/>
    <w:rsid w:val="00855F71"/>
    <w:rsid w:val="00857973"/>
    <w:rsid w:val="008662C4"/>
    <w:rsid w:val="008A42B1"/>
    <w:rsid w:val="008A436E"/>
    <w:rsid w:val="008B5621"/>
    <w:rsid w:val="008B5A4E"/>
    <w:rsid w:val="008C35AB"/>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8095D"/>
    <w:rsid w:val="009900D5"/>
    <w:rsid w:val="00994983"/>
    <w:rsid w:val="009A208E"/>
    <w:rsid w:val="009C519B"/>
    <w:rsid w:val="009E089B"/>
    <w:rsid w:val="009E09C1"/>
    <w:rsid w:val="009E732A"/>
    <w:rsid w:val="009F5CEC"/>
    <w:rsid w:val="00A37923"/>
    <w:rsid w:val="00A46C21"/>
    <w:rsid w:val="00A55D77"/>
    <w:rsid w:val="00A574F6"/>
    <w:rsid w:val="00A703A4"/>
    <w:rsid w:val="00AA43E5"/>
    <w:rsid w:val="00AA5A0B"/>
    <w:rsid w:val="00AB42A5"/>
    <w:rsid w:val="00AC5179"/>
    <w:rsid w:val="00AD0E0C"/>
    <w:rsid w:val="00AF7667"/>
    <w:rsid w:val="00B01D64"/>
    <w:rsid w:val="00B04D0B"/>
    <w:rsid w:val="00B25F24"/>
    <w:rsid w:val="00B27E17"/>
    <w:rsid w:val="00B35A24"/>
    <w:rsid w:val="00B40436"/>
    <w:rsid w:val="00B65A43"/>
    <w:rsid w:val="00B76DA5"/>
    <w:rsid w:val="00B827D4"/>
    <w:rsid w:val="00B84CF1"/>
    <w:rsid w:val="00B94D12"/>
    <w:rsid w:val="00BC22C3"/>
    <w:rsid w:val="00BD34B6"/>
    <w:rsid w:val="00BD39CF"/>
    <w:rsid w:val="00BD6BBC"/>
    <w:rsid w:val="00BE44B1"/>
    <w:rsid w:val="00BE5A1F"/>
    <w:rsid w:val="00BE6E4E"/>
    <w:rsid w:val="00BF4832"/>
    <w:rsid w:val="00C01FCF"/>
    <w:rsid w:val="00C1700D"/>
    <w:rsid w:val="00C40B9C"/>
    <w:rsid w:val="00C50842"/>
    <w:rsid w:val="00C53622"/>
    <w:rsid w:val="00C6111A"/>
    <w:rsid w:val="00C6211F"/>
    <w:rsid w:val="00C65131"/>
    <w:rsid w:val="00C734F7"/>
    <w:rsid w:val="00C769A7"/>
    <w:rsid w:val="00C77337"/>
    <w:rsid w:val="00C82132"/>
    <w:rsid w:val="00CA5C69"/>
    <w:rsid w:val="00CA63BA"/>
    <w:rsid w:val="00CB0752"/>
    <w:rsid w:val="00CB3F3B"/>
    <w:rsid w:val="00CD5480"/>
    <w:rsid w:val="00CD766D"/>
    <w:rsid w:val="00CD7764"/>
    <w:rsid w:val="00CF2773"/>
    <w:rsid w:val="00D00179"/>
    <w:rsid w:val="00D00461"/>
    <w:rsid w:val="00D25ADF"/>
    <w:rsid w:val="00D6311B"/>
    <w:rsid w:val="00D668F8"/>
    <w:rsid w:val="00D70E31"/>
    <w:rsid w:val="00DA095F"/>
    <w:rsid w:val="00DA32D2"/>
    <w:rsid w:val="00DB01B7"/>
    <w:rsid w:val="00DC166C"/>
    <w:rsid w:val="00DD04FA"/>
    <w:rsid w:val="00DD686B"/>
    <w:rsid w:val="00DE2B41"/>
    <w:rsid w:val="00E01AEF"/>
    <w:rsid w:val="00E021CE"/>
    <w:rsid w:val="00E12CE1"/>
    <w:rsid w:val="00E1332E"/>
    <w:rsid w:val="00E16CD1"/>
    <w:rsid w:val="00E21501"/>
    <w:rsid w:val="00E26E49"/>
    <w:rsid w:val="00E32894"/>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36AA8"/>
    <w:rsid w:val="00F61594"/>
    <w:rsid w:val="00F65D31"/>
    <w:rsid w:val="00F81407"/>
    <w:rsid w:val="00F924BE"/>
    <w:rsid w:val="00F974D1"/>
    <w:rsid w:val="00FE1333"/>
    <w:rsid w:val="00FE2D08"/>
    <w:rsid w:val="00FF42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84984"/>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styleId="NormalWeb">
    <w:name w:val="Normal (Web)"/>
    <w:basedOn w:val="a"/>
    <w:uiPriority w:val="99"/>
    <w:unhideWhenUsed/>
    <w:rsid w:val="00E32894"/>
    <w:pPr>
      <w:bidi w:val="0"/>
      <w:spacing w:before="100" w:beforeAutospacing="1" w:after="100" w:afterAutospacing="1"/>
    </w:pPr>
  </w:style>
  <w:style w:type="character" w:customStyle="1" w:styleId="apple-converted-space">
    <w:name w:val="apple-converted-space"/>
    <w:uiPriority w:val="99"/>
    <w:rsid w:val="00E32894"/>
  </w:style>
  <w:style w:type="paragraph" w:customStyle="1" w:styleId="m-2416880146872196398xmsonormal">
    <w:name w:val="m_-2416880146872196398xmsonormal"/>
    <w:basedOn w:val="a"/>
    <w:rsid w:val="006A550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ac.il/JS/JSIJ/1-2002/Schremer.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7396</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8</cp:revision>
  <dcterms:created xsi:type="dcterms:W3CDTF">2020-09-10T13:04:00Z</dcterms:created>
  <dcterms:modified xsi:type="dcterms:W3CDTF">2020-09-10T13:09:00Z</dcterms:modified>
</cp:coreProperties>
</file>