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AB" w:rsidRDefault="00B97DAB" w:rsidP="00B97DAB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4073F3E" wp14:editId="7511FA3F">
            <wp:extent cx="914400" cy="1188720"/>
            <wp:effectExtent l="0" t="0" r="0" b="0"/>
            <wp:docPr id="2" name="תמונה 2" descr="סמ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חד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</w:p>
    <w:p w:rsidR="00B97DAB" w:rsidRDefault="00B97DAB" w:rsidP="00B97DAB">
      <w:pPr>
        <w:spacing w:line="360" w:lineRule="auto"/>
        <w:jc w:val="center"/>
        <w:rPr>
          <w:rFonts w:ascii="Tahoma" w:hAnsi="Tahoma" w:cs="Tahoma"/>
          <w:b/>
          <w:color w:val="5B9BD5" w:themeColor="accent1"/>
          <w:sz w:val="32"/>
          <w:szCs w:val="32"/>
          <w:rtl/>
        </w:rPr>
      </w:pPr>
      <w:r w:rsidRPr="00B97DAB">
        <w:rPr>
          <w:rFonts w:ascii="Tahoma" w:hAnsi="Tahoma" w:cs="Tahoma"/>
          <w:bCs/>
          <w:color w:val="5B9BD5" w:themeColor="accent1"/>
          <w:sz w:val="28"/>
          <w:szCs w:val="28"/>
          <w:rtl/>
        </w:rPr>
        <w:t>שם ומספר הקורס:</w:t>
      </w:r>
      <w:r w:rsidRPr="00B97DAB">
        <w:rPr>
          <w:rFonts w:ascii="Tahoma" w:hAnsi="Tahoma" w:cs="Tahoma"/>
          <w:bCs/>
          <w:color w:val="5B9BD5" w:themeColor="accent1"/>
          <w:sz w:val="32"/>
          <w:szCs w:val="32"/>
          <w:rtl/>
        </w:rPr>
        <w:t xml:space="preserve"> </w:t>
      </w:r>
      <w:r w:rsidRPr="00B97DAB">
        <w:rPr>
          <w:rFonts w:ascii="Tahoma" w:hAnsi="Tahoma" w:cs="Tahoma"/>
          <w:b/>
          <w:color w:val="5B9BD5" w:themeColor="accent1"/>
          <w:sz w:val="32"/>
          <w:szCs w:val="32"/>
          <w:rtl/>
        </w:rPr>
        <w:t>'כתבי ההלכה של הרמב"ם</w:t>
      </w:r>
    </w:p>
    <w:p w:rsidR="00B97DAB" w:rsidRPr="00B97DAB" w:rsidRDefault="00B97DAB" w:rsidP="00B97DAB">
      <w:pPr>
        <w:spacing w:line="360" w:lineRule="auto"/>
        <w:jc w:val="center"/>
        <w:rPr>
          <w:rFonts w:ascii="Tahoma" w:hAnsi="Tahoma" w:cs="Tahoma"/>
          <w:bCs/>
          <w:color w:val="5B9BD5" w:themeColor="accent1"/>
          <w:sz w:val="32"/>
          <w:szCs w:val="32"/>
          <w:rtl/>
        </w:rPr>
      </w:pPr>
      <w:r w:rsidRPr="00B97DAB">
        <w:rPr>
          <w:rFonts w:ascii="Tahoma" w:hAnsi="Tahoma" w:cs="Tahoma"/>
          <w:b/>
          <w:color w:val="5B9BD5" w:themeColor="accent1"/>
          <w:sz w:val="32"/>
          <w:szCs w:val="32"/>
          <w:rtl/>
        </w:rPr>
        <w:t xml:space="preserve"> </w:t>
      </w:r>
      <w:r>
        <w:rPr>
          <w:rFonts w:ascii="Tahoma" w:hAnsi="Tahoma" w:cs="Tahoma" w:hint="cs"/>
          <w:b/>
          <w:color w:val="5B9BD5" w:themeColor="accent1"/>
          <w:sz w:val="32"/>
          <w:szCs w:val="32"/>
          <w:rtl/>
        </w:rPr>
        <w:t>10-397-01</w:t>
      </w:r>
    </w:p>
    <w:p w:rsidR="00B97DAB" w:rsidRPr="00B97DAB" w:rsidRDefault="00B97DAB" w:rsidP="00B97DAB">
      <w:pPr>
        <w:spacing w:line="360" w:lineRule="auto"/>
        <w:jc w:val="center"/>
        <w:rPr>
          <w:rFonts w:ascii="Arial" w:hAnsi="Arial" w:cs="Tahoma"/>
          <w:color w:val="5B9BD5" w:themeColor="accent1"/>
          <w:szCs w:val="20"/>
          <w:rtl/>
        </w:rPr>
      </w:pPr>
      <w:r w:rsidRPr="00B97DAB">
        <w:rPr>
          <w:rFonts w:ascii="Tahoma" w:hAnsi="Tahoma" w:cs="Tahoma"/>
          <w:bCs/>
          <w:color w:val="5B9BD5" w:themeColor="accent1"/>
          <w:sz w:val="28"/>
          <w:szCs w:val="28"/>
          <w:rtl/>
        </w:rPr>
        <w:t>שם המרצה:</w:t>
      </w:r>
      <w:r w:rsidRPr="00B97DAB">
        <w:rPr>
          <w:rFonts w:ascii="Arial" w:hAnsi="Arial" w:cs="Tahoma" w:hint="cs"/>
          <w:bCs/>
          <w:color w:val="5B9BD5" w:themeColor="accent1"/>
          <w:sz w:val="36"/>
          <w:szCs w:val="28"/>
          <w:rtl/>
        </w:rPr>
        <w:t xml:space="preserve"> </w:t>
      </w:r>
      <w:r w:rsidRPr="00B97DAB">
        <w:rPr>
          <w:rFonts w:ascii="Tahoma" w:hAnsi="Tahoma" w:cs="Tahoma"/>
          <w:b/>
          <w:color w:val="5B9BD5" w:themeColor="accent1"/>
          <w:sz w:val="32"/>
          <w:szCs w:val="32"/>
          <w:rtl/>
        </w:rPr>
        <w:t>פרופ' דוד הנשקה</w:t>
      </w:r>
    </w:p>
    <w:p w:rsidR="00B97DAB" w:rsidRPr="00B97DAB" w:rsidRDefault="00B97DAB" w:rsidP="00B97DAB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B97DAB">
        <w:rPr>
          <w:rFonts w:ascii="Arial" w:hAnsi="Arial" w:cs="Arial"/>
          <w:b/>
          <w:bCs/>
          <w:color w:val="5B9BD5" w:themeColor="accent1"/>
          <w:rtl/>
        </w:rPr>
        <w:t>סוג הקורס:</w:t>
      </w:r>
      <w:r w:rsidRPr="00B97DAB">
        <w:rPr>
          <w:rFonts w:ascii="Arial" w:hAnsi="Arial" w:cs="Arial"/>
          <w:color w:val="5B9BD5" w:themeColor="accent1"/>
          <w:rtl/>
        </w:rPr>
        <w:t xml:space="preserve"> </w:t>
      </w:r>
      <w:r w:rsidRPr="00B97DAB">
        <w:rPr>
          <w:rFonts w:ascii="Arial" w:hAnsi="Arial" w:cs="Arial" w:hint="cs"/>
          <w:color w:val="5B9BD5" w:themeColor="accent1"/>
          <w:rtl/>
        </w:rPr>
        <w:t>שיעור</w:t>
      </w:r>
    </w:p>
    <w:p w:rsidR="00B97DAB" w:rsidRPr="003C070F" w:rsidRDefault="00B97DAB" w:rsidP="00B97DAB">
      <w:pPr>
        <w:spacing w:line="360" w:lineRule="auto"/>
        <w:rPr>
          <w:rFonts w:ascii="Arial" w:hAnsi="Arial" w:cs="Arial"/>
          <w:color w:val="548DD4"/>
          <w:rtl/>
        </w:rPr>
      </w:pPr>
      <w:r w:rsidRPr="00B97DAB">
        <w:rPr>
          <w:rFonts w:ascii="Arial" w:hAnsi="Arial" w:cs="Arial"/>
          <w:b/>
          <w:bCs/>
          <w:color w:val="5B9BD5" w:themeColor="accent1"/>
          <w:rtl/>
        </w:rPr>
        <w:t>שנת לימודים</w:t>
      </w:r>
      <w:r w:rsidRPr="00B97DAB">
        <w:rPr>
          <w:rFonts w:ascii="Arial" w:hAnsi="Arial" w:cs="Arial"/>
          <w:color w:val="5B9BD5" w:themeColor="accent1"/>
          <w:rtl/>
        </w:rPr>
        <w:t xml:space="preserve">: </w:t>
      </w:r>
      <w:r w:rsidRPr="00B97DAB">
        <w:rPr>
          <w:rFonts w:ascii="Arial" w:hAnsi="Arial" w:cs="Arial" w:hint="cs"/>
          <w:color w:val="5B9BD5" w:themeColor="accent1"/>
          <w:rtl/>
        </w:rPr>
        <w:t>תשפ"א</w:t>
      </w:r>
      <w:r w:rsidRPr="00B97DAB">
        <w:rPr>
          <w:rFonts w:ascii="Arial" w:hAnsi="Arial" w:cs="Arial"/>
          <w:color w:val="5B9BD5" w:themeColor="accent1"/>
          <w:rtl/>
        </w:rPr>
        <w:t xml:space="preserve">                     </w:t>
      </w:r>
      <w:r w:rsidRPr="00B97DAB">
        <w:rPr>
          <w:rFonts w:ascii="Arial" w:hAnsi="Arial" w:cs="Arial"/>
          <w:b/>
          <w:bCs/>
          <w:color w:val="5B9BD5" w:themeColor="accent1"/>
          <w:rtl/>
        </w:rPr>
        <w:t>סמסטר</w:t>
      </w:r>
      <w:r w:rsidRPr="00B97DAB">
        <w:rPr>
          <w:rFonts w:ascii="Arial" w:hAnsi="Arial" w:cs="Arial"/>
          <w:color w:val="5B9BD5" w:themeColor="accent1"/>
          <w:rtl/>
        </w:rPr>
        <w:t xml:space="preserve">: </w:t>
      </w:r>
      <w:r w:rsidRPr="00B97DAB">
        <w:rPr>
          <w:rFonts w:ascii="Arial" w:hAnsi="Arial" w:cs="Arial" w:hint="cs"/>
          <w:color w:val="5B9BD5" w:themeColor="accent1"/>
          <w:rtl/>
        </w:rPr>
        <w:t xml:space="preserve">א' + ב' </w:t>
      </w:r>
      <w:r w:rsidRPr="00B97DAB">
        <w:rPr>
          <w:rFonts w:ascii="Arial" w:hAnsi="Arial" w:cs="Arial"/>
          <w:color w:val="5B9BD5" w:themeColor="accent1"/>
          <w:rtl/>
        </w:rPr>
        <w:t xml:space="preserve">                      </w:t>
      </w:r>
      <w:r w:rsidRPr="00B97DAB">
        <w:rPr>
          <w:rFonts w:ascii="Arial" w:hAnsi="Arial" w:cs="Arial"/>
          <w:b/>
          <w:bCs/>
          <w:color w:val="5B9BD5" w:themeColor="accent1"/>
          <w:rtl/>
        </w:rPr>
        <w:t>היקף שעות</w:t>
      </w:r>
      <w:r w:rsidRPr="00B97DAB">
        <w:rPr>
          <w:rFonts w:ascii="Arial" w:hAnsi="Arial" w:cs="Arial"/>
          <w:color w:val="5B9BD5" w:themeColor="accent1"/>
          <w:rtl/>
        </w:rPr>
        <w:t xml:space="preserve">: </w:t>
      </w:r>
      <w:r w:rsidRPr="00B97DAB">
        <w:rPr>
          <w:rFonts w:ascii="Arial" w:hAnsi="Arial" w:cs="Arial" w:hint="cs"/>
          <w:color w:val="5B9BD5" w:themeColor="accent1"/>
          <w:rtl/>
        </w:rPr>
        <w:t>2</w:t>
      </w:r>
      <w:r w:rsidRPr="00B97DAB">
        <w:rPr>
          <w:rFonts w:ascii="Arial" w:hAnsi="Arial" w:cs="Arial"/>
          <w:color w:val="5B9BD5" w:themeColor="accent1"/>
          <w:rtl/>
        </w:rPr>
        <w:t xml:space="preserve"> </w:t>
      </w:r>
      <w:proofErr w:type="spellStart"/>
      <w:r w:rsidRPr="00B97DAB">
        <w:rPr>
          <w:rFonts w:ascii="Arial" w:hAnsi="Arial" w:cs="Arial" w:hint="cs"/>
          <w:color w:val="5B9BD5" w:themeColor="accent1"/>
          <w:rtl/>
        </w:rPr>
        <w:t>ש</w:t>
      </w:r>
      <w:r>
        <w:rPr>
          <w:rFonts w:ascii="Arial" w:hAnsi="Arial" w:cs="Arial" w:hint="cs"/>
          <w:color w:val="548DD4"/>
          <w:rtl/>
        </w:rPr>
        <w:t>"ש</w:t>
      </w:r>
      <w:proofErr w:type="spellEnd"/>
    </w:p>
    <w:p w:rsidR="00B97DAB" w:rsidRPr="003C070F" w:rsidRDefault="00B97DAB" w:rsidP="00B97DAB">
      <w:pPr>
        <w:spacing w:line="360" w:lineRule="auto"/>
        <w:rPr>
          <w:sz w:val="28"/>
          <w:szCs w:val="28"/>
          <w:rtl/>
        </w:rPr>
      </w:pPr>
      <w:r w:rsidRPr="00B97DAB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B97DAB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B97DAB">
        <w:rPr>
          <w:rFonts w:ascii="Calibri" w:eastAsia="Calibri" w:hAnsi="Calibri" w:cs="Arial"/>
          <w:sz w:val="22"/>
          <w:szCs w:val="22"/>
        </w:rPr>
        <w:t>lemida.biu.ac.il</w:t>
      </w:r>
      <w:r w:rsidRPr="00B97DAB">
        <w:rPr>
          <w:rFonts w:ascii="Calibri" w:eastAsia="Calibri" w:hAnsi="Calibri" w:cs="Arial"/>
          <w:b/>
          <w:bCs/>
          <w:sz w:val="22"/>
          <w:szCs w:val="22"/>
          <w:rtl/>
        </w:rPr>
        <w:t xml:space="preserve">  </w:t>
      </w:r>
    </w:p>
    <w:p w:rsidR="00B97DAB" w:rsidRDefault="00B97DAB" w:rsidP="00B97DAB">
      <w:pPr>
        <w:rPr>
          <w:rFonts w:ascii="Tahoma" w:hAnsi="Tahoma" w:cs="Tahoma"/>
          <w:sz w:val="26"/>
          <w:szCs w:val="26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</w:t>
      </w:r>
      <w:r>
        <w:rPr>
          <w:rFonts w:hint="cs"/>
          <w:b/>
          <w:bCs/>
          <w:sz w:val="28"/>
          <w:szCs w:val="28"/>
          <w:rtl/>
        </w:rPr>
        <w:t>:</w:t>
      </w:r>
    </w:p>
    <w:p w:rsidR="00B97DAB" w:rsidRDefault="00B97DAB" w:rsidP="00B97DAB">
      <w:pPr>
        <w:rPr>
          <w:rFonts w:ascii="Tahoma" w:hAnsi="Tahoma" w:cs="Tahoma"/>
          <w:sz w:val="26"/>
          <w:szCs w:val="26"/>
          <w:rtl/>
        </w:rPr>
      </w:pPr>
    </w:p>
    <w:p w:rsidR="00B97DAB" w:rsidRPr="00707436" w:rsidRDefault="00B97DAB" w:rsidP="00B97DA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מטרת הקורס היא </w:t>
      </w:r>
      <w:r>
        <w:rPr>
          <w:rFonts w:ascii="Arial" w:hAnsi="Arial" w:cs="Arial"/>
          <w:rtl/>
        </w:rPr>
        <w:t xml:space="preserve">הקניית יכולת </w:t>
      </w:r>
      <w:r w:rsidRPr="00707436">
        <w:rPr>
          <w:rFonts w:ascii="Arial" w:hAnsi="Arial" w:cs="Arial"/>
          <w:rtl/>
        </w:rPr>
        <w:t xml:space="preserve">לימוד </w:t>
      </w:r>
      <w:r>
        <w:rPr>
          <w:rFonts w:ascii="Arial" w:hAnsi="Arial" w:cs="Arial" w:hint="cs"/>
          <w:rtl/>
        </w:rPr>
        <w:t xml:space="preserve">בדרכים מדעיות </w:t>
      </w:r>
      <w:r w:rsidRPr="00707436">
        <w:rPr>
          <w:rFonts w:ascii="Arial" w:hAnsi="Arial" w:cs="Arial"/>
          <w:rtl/>
        </w:rPr>
        <w:t>ב</w:t>
      </w:r>
      <w:r>
        <w:rPr>
          <w:rFonts w:ascii="Arial" w:hAnsi="Arial" w:cs="Arial" w:hint="cs"/>
          <w:rtl/>
        </w:rPr>
        <w:t>ספרות ההלכה של הרמב"ם,</w:t>
      </w:r>
      <w:r w:rsidRPr="00707436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מתוך בחינתה בזוויות כרונולוגיות, מתודיות ותפיסתיות</w:t>
      </w:r>
      <w:r w:rsidRPr="00707436">
        <w:rPr>
          <w:rFonts w:ascii="Arial" w:hAnsi="Arial" w:cs="Arial"/>
          <w:rtl/>
        </w:rPr>
        <w:t>.</w:t>
      </w:r>
    </w:p>
    <w:p w:rsidR="00B97DAB" w:rsidRDefault="00B97DAB" w:rsidP="00B97DAB">
      <w:pPr>
        <w:rPr>
          <w:rFonts w:ascii="Arial" w:hAnsi="Arial" w:cs="Arial"/>
          <w:rtl/>
        </w:rPr>
      </w:pPr>
      <w:r>
        <w:rPr>
          <w:rFonts w:hint="cs"/>
          <w:rtl/>
        </w:rPr>
        <w:t xml:space="preserve">    </w:t>
      </w:r>
      <w:r w:rsidRPr="00DD7449">
        <w:rPr>
          <w:rFonts w:ascii="Arial" w:hAnsi="Arial" w:cs="Arial"/>
          <w:rtl/>
        </w:rPr>
        <w:t xml:space="preserve">בסיום הקורס מצופה </w:t>
      </w:r>
      <w:r>
        <w:rPr>
          <w:rFonts w:ascii="Arial" w:hAnsi="Arial" w:cs="Arial" w:hint="cs"/>
          <w:rtl/>
        </w:rPr>
        <w:t>שהסטודנטים יהיו מסוגלים לנתח בדרך מדעית טקסטים מספרות ההלכה של הרמב"ם.</w:t>
      </w:r>
    </w:p>
    <w:p w:rsidR="00B97DAB" w:rsidRDefault="00B97DAB" w:rsidP="00B97DAB">
      <w:pPr>
        <w:rPr>
          <w:rFonts w:ascii="Arial" w:hAnsi="Arial" w:cs="Arial"/>
          <w:rtl/>
        </w:rPr>
      </w:pPr>
    </w:p>
    <w:p w:rsidR="00B97DAB" w:rsidRPr="003C070F" w:rsidRDefault="00B97DAB" w:rsidP="00B97DAB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B97DAB" w:rsidRDefault="00B97DAB" w:rsidP="00B97DA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כתבי ההלכה בסדרם הכרונולוגי, תוך בירור בעיות האותנטיות, הטקסט, תרגומיו ומהדורותיו; התפתחות חשיבתו ההלכתית של הרמב"ם על-פי ניתוח השוואתי; פרקים בתפיסת ההלכה של הרמב"ם; בעיות יסוד ב'משנה תורה' לרמב"ם.</w:t>
      </w:r>
    </w:p>
    <w:p w:rsidR="00B97DAB" w:rsidRDefault="00B97DAB" w:rsidP="00B97DAB">
      <w:pPr>
        <w:rPr>
          <w:rFonts w:ascii="Arial" w:hAnsi="Arial" w:cs="Arial"/>
          <w:rtl/>
        </w:rPr>
      </w:pPr>
    </w:p>
    <w:p w:rsidR="00B97DAB" w:rsidRDefault="00B97DAB" w:rsidP="00B97DAB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השיעורים מתנהלים סביב לימוד גופי המקורות, המצויים לפני הלומדים בחוברת הקורס, ועל יסוד ביבליוגרפיה מתאימה.</w:t>
      </w:r>
    </w:p>
    <w:p w:rsidR="00441448" w:rsidRDefault="00441448" w:rsidP="00B97DAB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</w:t>
      </w:r>
      <w:bookmarkStart w:id="0" w:name="_GoBack"/>
      <w:r>
        <w:rPr>
          <w:rFonts w:ascii="Arial" w:hAnsi="Arial" w:cs="Arial" w:hint="cs"/>
          <w:rtl/>
        </w:rPr>
        <w:t>בשל המצב, השיעורים יינתנו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>. אם ישתנה המצב לטובה, מתכונת השיעורים תחזור להוראה פרונטלית, אך השימוש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 xml:space="preserve"> יימשך לטובת סטודנטים שלא יוכלו להשתתף פיזית.</w:t>
      </w:r>
      <w:bookmarkEnd w:id="0"/>
      <w:r w:rsidR="0068101A">
        <w:rPr>
          <w:rFonts w:ascii="Arial" w:hAnsi="Arial" w:cs="Arial" w:hint="cs"/>
          <w:rtl/>
        </w:rPr>
        <w:t xml:space="preserve"> </w:t>
      </w:r>
    </w:p>
    <w:p w:rsidR="00B97DAB" w:rsidRPr="00B05013" w:rsidRDefault="00B97DAB" w:rsidP="00B97DAB">
      <w:pPr>
        <w:ind w:left="26"/>
        <w:jc w:val="both"/>
        <w:rPr>
          <w:sz w:val="28"/>
          <w:szCs w:val="28"/>
          <w:rtl/>
        </w:rPr>
      </w:pPr>
    </w:p>
    <w:p w:rsidR="00B97DAB" w:rsidRDefault="00B97DAB" w:rsidP="00B97DAB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תכנית הוראה מפורטת לכל השיעורים:</w:t>
      </w:r>
    </w:p>
    <w:p w:rsidR="00B97DAB" w:rsidRDefault="00B97DAB" w:rsidP="00B97DAB">
      <w:pPr>
        <w:rPr>
          <w:rFonts w:ascii="Arial" w:hAnsi="Arial" w:cs="Arial"/>
          <w:rtl/>
        </w:rPr>
      </w:pP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הרצאה 1: הקדמה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מקומה של ההלכה בתוך ספרות הרמב"ם וקביעת תחומיהם של 'כתבי ההלכה'.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5-2: חיבורים תלמודיים של הרמב"ם: פירושי התלמוד, פירוש המשנה, הלכות הירושלמי, ספר המצוות, משנה תורה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טיבם, היקפם, מקורות הטקסט, מהדורות, תרגומים; חיבורים </w:t>
      </w:r>
      <w:proofErr w:type="spellStart"/>
      <w:r>
        <w:rPr>
          <w:rFonts w:ascii="Arial" w:hAnsi="Arial" w:cs="Arial" w:hint="cs"/>
          <w:rtl/>
        </w:rPr>
        <w:t>שנתייחסו</w:t>
      </w:r>
      <w:proofErr w:type="spellEnd"/>
      <w:r>
        <w:rPr>
          <w:rFonts w:ascii="Arial" w:hAnsi="Arial" w:cs="Arial" w:hint="cs"/>
          <w:rtl/>
        </w:rPr>
        <w:t xml:space="preserve"> לרמב"ם.  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10-6: התפתחות חשיבתו ההלכתית של הרמב"ם על-פי ניתוח שורה של סוגיות השוואתיות; דרכו של הרמב"ם בתיקון מהדורות ראשונות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פירוש המשנה, ספר המצוות ומשנה תורה.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>הרצאות 16-11: פרקי יסוד בתפיסת ההלכה של הרמב"ם: 'דרבנן', 'דאורייתא', 'הלכה למשה מסיני', 'דברי נביאים', מצוות האבות.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18-17: לבעיית הסתירות ב'משנה תורה': סוגיות ומתודות.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20-19: לבעיית ההנמקות ב'משנה תורה'.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22-21: לפרשנות המקרא ההלכתית ב'משנה תורה'.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24-23: לביטויי הגותו של הרמב"ם במסגרת משנתו ההלכתית.</w:t>
      </w:r>
    </w:p>
    <w:p w:rsidR="00B97DAB" w:rsidRDefault="00B97DAB" w:rsidP="00B97DAB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26-25: הרמב"ם כמפרש דברי עצמו.  </w:t>
      </w:r>
    </w:p>
    <w:p w:rsidR="00B97DAB" w:rsidRDefault="00B97DAB" w:rsidP="00B97DAB">
      <w:pPr>
        <w:rPr>
          <w:rFonts w:ascii="Arial" w:hAnsi="Arial" w:cs="Arial"/>
          <w:rtl/>
        </w:rPr>
      </w:pPr>
    </w:p>
    <w:p w:rsidR="00B97DAB" w:rsidRPr="003C070F" w:rsidRDefault="00B97DAB" w:rsidP="00B97DAB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B97DAB" w:rsidRPr="003C070F" w:rsidRDefault="00B97DAB" w:rsidP="00B97DAB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ascii="Arial" w:hAnsi="Arial" w:cs="Arial" w:hint="cs"/>
          <w:rtl/>
        </w:rPr>
        <w:t>היכרות כללית עו</w:t>
      </w:r>
      <w:r w:rsidRPr="004F5C58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>ם התלמוד</w:t>
      </w:r>
      <w:r w:rsidRPr="004F5C58">
        <w:rPr>
          <w:rFonts w:ascii="Arial" w:hAnsi="Arial" w:cs="Arial" w:hint="cs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B97DAB" w:rsidRPr="003C070F" w:rsidRDefault="00B97DAB" w:rsidP="00B97D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מטלות:</w:t>
      </w:r>
    </w:p>
    <w:p w:rsidR="00B97DAB" w:rsidRPr="003C070F" w:rsidRDefault="00B97DAB" w:rsidP="00B97DAB">
      <w:pPr>
        <w:spacing w:line="360" w:lineRule="auto"/>
        <w:jc w:val="both"/>
        <w:rPr>
          <w:sz w:val="28"/>
          <w:szCs w:val="28"/>
          <w:rtl/>
        </w:rPr>
      </w:pPr>
      <w:r w:rsidRPr="0018478F">
        <w:rPr>
          <w:rFonts w:ascii="Arial" w:hAnsi="Arial" w:cs="Arial" w:hint="cs"/>
          <w:rtl/>
        </w:rPr>
        <w:t>מבחן</w:t>
      </w:r>
      <w:r>
        <w:rPr>
          <w:rFonts w:ascii="Arial" w:hAnsi="Arial" w:cs="Arial" w:hint="cs"/>
          <w:rtl/>
        </w:rPr>
        <w:t xml:space="preserve"> בסוף הקורס, הבודק בקטע </w:t>
      </w:r>
      <w:r>
        <w:rPr>
          <w:rFonts w:ascii="Arial" w:hAnsi="Arial" w:cs="Arial"/>
        </w:rPr>
        <w:t>un seen</w:t>
      </w:r>
      <w:r>
        <w:rPr>
          <w:rFonts w:ascii="Arial" w:hAnsi="Arial" w:cs="Arial" w:hint="cs"/>
          <w:rtl/>
        </w:rPr>
        <w:t xml:space="preserve"> את יישום הנלמד.</w:t>
      </w:r>
    </w:p>
    <w:p w:rsidR="00B97DAB" w:rsidRPr="003C070F" w:rsidRDefault="00B97DAB" w:rsidP="00B97D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B97DAB" w:rsidRPr="003C070F" w:rsidRDefault="00B97DAB" w:rsidP="00B97DAB">
      <w:pPr>
        <w:spacing w:line="360" w:lineRule="auto"/>
        <w:jc w:val="both"/>
        <w:rPr>
          <w:color w:val="000000"/>
          <w:sz w:val="28"/>
          <w:szCs w:val="28"/>
          <w:rtl/>
        </w:rPr>
      </w:pPr>
      <w:r>
        <w:rPr>
          <w:rFonts w:ascii="Arial" w:hAnsi="Arial" w:cs="Arial"/>
          <w:rtl/>
        </w:rPr>
        <w:t>ציון מספרי</w:t>
      </w:r>
      <w:r>
        <w:rPr>
          <w:rFonts w:ascii="Arial" w:hAnsi="Arial" w:cs="Arial" w:hint="cs"/>
          <w:rtl/>
        </w:rPr>
        <w:t>, על-פי המבחן והפעילות במהלך הקורס.</w:t>
      </w:r>
    </w:p>
    <w:p w:rsidR="00B97DAB" w:rsidRDefault="00B97DAB" w:rsidP="00B97DAB">
      <w:pPr>
        <w:spacing w:line="360" w:lineRule="auto"/>
        <w:ind w:left="26"/>
        <w:rPr>
          <w:b/>
          <w:bCs/>
          <w:color w:val="000000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B97DAB" w:rsidRDefault="00B97DAB" w:rsidP="00B97DAB">
      <w:pPr>
        <w:rPr>
          <w:rFonts w:ascii="Arial" w:hAnsi="Arial" w:cs="Arial"/>
          <w:rtl/>
        </w:rPr>
      </w:pPr>
      <w:r w:rsidRPr="00707436">
        <w:rPr>
          <w:rFonts w:ascii="Arial" w:hAnsi="Arial" w:cs="Arial" w:hint="cs"/>
          <w:rtl/>
        </w:rPr>
        <w:t>ש'</w:t>
      </w:r>
      <w:r>
        <w:rPr>
          <w:rFonts w:ascii="Arial" w:hAnsi="Arial" w:cs="Arial" w:hint="cs"/>
          <w:rtl/>
        </w:rPr>
        <w:t xml:space="preserve"> ליברמן, הלכות הירוש</w:t>
      </w:r>
      <w:r w:rsidRPr="00707436">
        <w:rPr>
          <w:rFonts w:ascii="Arial" w:hAnsi="Arial" w:cs="Arial" w:hint="cs"/>
          <w:rtl/>
        </w:rPr>
        <w:t xml:space="preserve">למי </w:t>
      </w:r>
      <w:proofErr w:type="spellStart"/>
      <w:r w:rsidRPr="00707436">
        <w:rPr>
          <w:rFonts w:ascii="Arial" w:hAnsi="Arial" w:cs="Arial" w:hint="cs"/>
          <w:rtl/>
        </w:rPr>
        <w:t>להרמב"ם</w:t>
      </w:r>
      <w:proofErr w:type="spellEnd"/>
      <w:r w:rsidRPr="00707436">
        <w:rPr>
          <w:rFonts w:ascii="Arial" w:hAnsi="Arial" w:cs="Arial" w:hint="cs"/>
          <w:rtl/>
        </w:rPr>
        <w:t xml:space="preserve"> ז"ל, ניו יורק תש"ח</w:t>
      </w:r>
      <w:r>
        <w:rPr>
          <w:rFonts w:ascii="Arial" w:hAnsi="Arial" w:cs="Arial" w:hint="cs"/>
          <w:rtl/>
        </w:rPr>
        <w:t>;</w:t>
      </w:r>
    </w:p>
    <w:p w:rsidR="00B97DAB" w:rsidRDefault="00B97DAB" w:rsidP="00B97DA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י' לוינגר, דרכי המחשבה ההלכתית של הרמב"ם, ירושלם תשכ"ה;</w:t>
      </w:r>
    </w:p>
    <w:p w:rsidR="00B97DAB" w:rsidRDefault="00B97DAB" w:rsidP="00B97DAB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י' </w:t>
      </w:r>
      <w:proofErr w:type="spellStart"/>
      <w:r>
        <w:rPr>
          <w:rFonts w:ascii="Arial" w:hAnsi="Arial" w:cs="Arial" w:hint="cs"/>
          <w:rtl/>
        </w:rPr>
        <w:t>שילת</w:t>
      </w:r>
      <w:proofErr w:type="spellEnd"/>
      <w:r>
        <w:rPr>
          <w:rFonts w:ascii="Arial" w:hAnsi="Arial" w:cs="Arial" w:hint="cs"/>
          <w:rtl/>
        </w:rPr>
        <w:t>, אגרות הרמב"ם, ירושלם תשמ"ז-ח;</w:t>
      </w:r>
    </w:p>
    <w:p w:rsidR="00B97DAB" w:rsidRDefault="00B97DAB" w:rsidP="00B97DA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א' </w:t>
      </w:r>
      <w:proofErr w:type="spellStart"/>
      <w:r>
        <w:rPr>
          <w:rFonts w:ascii="Arial" w:hAnsi="Arial" w:cs="Arial" w:hint="cs"/>
          <w:rtl/>
        </w:rPr>
        <w:t>רביצקי</w:t>
      </w:r>
      <w:proofErr w:type="spellEnd"/>
      <w:r>
        <w:rPr>
          <w:rFonts w:ascii="Arial" w:hAnsi="Arial" w:cs="Arial" w:hint="cs"/>
          <w:rtl/>
        </w:rPr>
        <w:t xml:space="preserve"> (עורך), הרמב"ם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שמרנות, מקוריות, מהפכנות, ירושלם תשס"ט.</w:t>
      </w:r>
      <w:r>
        <w:rPr>
          <w:rFonts w:ascii="Arial" w:hAnsi="Arial" w:cs="Arial"/>
          <w:b/>
          <w:bCs/>
          <w:rtl/>
        </w:rPr>
        <w:t xml:space="preserve">     </w:t>
      </w:r>
    </w:p>
    <w:p w:rsidR="00B97DAB" w:rsidRDefault="00B97DAB" w:rsidP="00B97DAB">
      <w:pPr>
        <w:rPr>
          <w:rFonts w:ascii="Arial" w:hAnsi="Arial" w:cs="Arial"/>
          <w:b/>
          <w:bCs/>
          <w:rtl/>
        </w:rPr>
      </w:pPr>
    </w:p>
    <w:p w:rsidR="00B97DAB" w:rsidRDefault="00B97DAB" w:rsidP="00B97DA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</w:t>
      </w:r>
      <w:r w:rsidRPr="00707436">
        <w:rPr>
          <w:rFonts w:ascii="Arial" w:hAnsi="Arial" w:cs="Arial"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חוברת המקורות של הקורס, ומקורות שבביבליוגרפיה. </w:t>
      </w:r>
    </w:p>
    <w:p w:rsidR="00B97DAB" w:rsidRPr="003C070F" w:rsidRDefault="00B97DAB" w:rsidP="00B97DAB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</w:p>
    <w:p w:rsidR="00B97DAB" w:rsidRDefault="00B97DAB" w:rsidP="00B97DAB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B97DAB" w:rsidRDefault="00B97DAB" w:rsidP="00B97DAB">
      <w:pPr>
        <w:spacing w:line="360" w:lineRule="auto"/>
        <w:rPr>
          <w:rFonts w:ascii="Arial" w:hAnsi="Arial" w:cs="Arial"/>
          <w:rtl/>
        </w:rPr>
      </w:pPr>
      <w:r w:rsidRPr="00203CE4">
        <w:rPr>
          <w:rFonts w:ascii="Tahoma" w:hAnsi="Tahoma" w:cs="Tahoma"/>
          <w:sz w:val="26"/>
          <w:szCs w:val="26"/>
        </w:rPr>
        <w:t>The</w:t>
      </w:r>
      <w:r>
        <w:rPr>
          <w:rFonts w:ascii="Tahoma" w:hAnsi="Tahoma" w:cs="Tahoma"/>
          <w:sz w:val="26"/>
          <w:szCs w:val="26"/>
        </w:rPr>
        <w:t xml:space="preserve"> Halakhic Writings of Maimonides</w:t>
      </w:r>
    </w:p>
    <w:p w:rsidR="00B97DAB" w:rsidRDefault="00B97DAB" w:rsidP="00B97DAB">
      <w:pPr>
        <w:spacing w:line="360" w:lineRule="auto"/>
        <w:rPr>
          <w:rFonts w:ascii="Arial" w:hAnsi="Arial" w:cs="Arial"/>
          <w:rtl/>
        </w:rPr>
      </w:pPr>
    </w:p>
    <w:p w:rsidR="00B97DAB" w:rsidRDefault="00B97DAB" w:rsidP="00B97DAB">
      <w:pPr>
        <w:spacing w:line="360" w:lineRule="auto"/>
        <w:rPr>
          <w:rFonts w:ascii="Arial" w:hAnsi="Arial" w:cs="Arial"/>
          <w:rtl/>
        </w:rPr>
      </w:pPr>
    </w:p>
    <w:p w:rsidR="00197B6D" w:rsidRDefault="00197B6D"/>
    <w:sectPr w:rsidR="00197B6D" w:rsidSect="009B0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B"/>
    <w:rsid w:val="00197B6D"/>
    <w:rsid w:val="00441448"/>
    <w:rsid w:val="0068101A"/>
    <w:rsid w:val="009B04FA"/>
    <w:rsid w:val="00B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2B06A-3D86-442A-A283-41E36D6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Ramati</dc:creator>
  <cp:keywords/>
  <dc:description/>
  <cp:lastModifiedBy>user</cp:lastModifiedBy>
  <cp:revision>3</cp:revision>
  <dcterms:created xsi:type="dcterms:W3CDTF">2020-09-13T18:27:00Z</dcterms:created>
  <dcterms:modified xsi:type="dcterms:W3CDTF">2020-09-13T18:28:00Z</dcterms:modified>
</cp:coreProperties>
</file>