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E4A55" w14:textId="77777777" w:rsidR="009C2F5D" w:rsidRDefault="009C2F5D" w:rsidP="009C2F5D">
      <w:pPr>
        <w:spacing w:line="360" w:lineRule="auto"/>
        <w:ind w:left="3600"/>
        <w:rPr>
          <w:rFonts w:ascii="David" w:hAnsi="David" w:cs="David"/>
          <w:bCs/>
          <w:color w:val="548DD4"/>
          <w:rtl/>
        </w:rPr>
      </w:pPr>
      <w:r w:rsidRPr="009C2F5D">
        <w:rPr>
          <w:rFonts w:ascii="Arial" w:eastAsia="Calibri" w:hAnsi="Arial" w:cs="Tahoma"/>
          <w:bCs/>
          <w:noProof/>
          <w:color w:val="0070C0"/>
          <w:sz w:val="36"/>
          <w:szCs w:val="36"/>
        </w:rPr>
        <w:drawing>
          <wp:inline distT="0" distB="0" distL="0" distR="0" wp14:anchorId="711480D9" wp14:editId="3A9FF094">
            <wp:extent cx="1524000" cy="1203960"/>
            <wp:effectExtent l="0" t="0" r="0" b="0"/>
            <wp:docPr id="1" name="תמונה 1" descr="לוגו בר אילן נפח קט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בר אילן נפח קט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69305" w14:textId="77777777" w:rsidR="009C2F5D" w:rsidRDefault="009C2F5D" w:rsidP="009C2F5D">
      <w:pPr>
        <w:spacing w:line="360" w:lineRule="auto"/>
        <w:ind w:left="5040"/>
        <w:jc w:val="right"/>
        <w:rPr>
          <w:rFonts w:ascii="David" w:hAnsi="David" w:cs="David"/>
          <w:bCs/>
          <w:color w:val="548DD4"/>
          <w:rtl/>
        </w:rPr>
      </w:pPr>
    </w:p>
    <w:p w14:paraId="5AF2EF45" w14:textId="77777777" w:rsidR="009C2F5D" w:rsidRPr="009C2F5D" w:rsidRDefault="009C2F5D" w:rsidP="009C2F5D">
      <w:pPr>
        <w:spacing w:line="360" w:lineRule="auto"/>
        <w:ind w:left="5040"/>
        <w:jc w:val="right"/>
        <w:rPr>
          <w:rFonts w:ascii="David" w:hAnsi="David" w:cs="David"/>
          <w:bCs/>
          <w:color w:val="548DD4"/>
          <w:sz w:val="28"/>
          <w:szCs w:val="28"/>
          <w:rtl/>
        </w:rPr>
      </w:pPr>
      <w:r w:rsidRPr="009C2F5D">
        <w:rPr>
          <w:rFonts w:ascii="David" w:hAnsi="David" w:cs="David" w:hint="cs"/>
          <w:bCs/>
          <w:color w:val="548DD4"/>
          <w:sz w:val="28"/>
          <w:szCs w:val="28"/>
          <w:rtl/>
        </w:rPr>
        <w:t>4.5.20</w:t>
      </w:r>
    </w:p>
    <w:p w14:paraId="34D21CB5" w14:textId="77777777" w:rsidR="00F619AB" w:rsidRPr="00822C46" w:rsidRDefault="00F619AB" w:rsidP="009C2F5D">
      <w:pPr>
        <w:spacing w:line="360" w:lineRule="auto"/>
        <w:rPr>
          <w:rFonts w:ascii="David" w:hAnsi="David" w:cs="David"/>
          <w:bCs/>
          <w:color w:val="548DD4"/>
          <w:sz w:val="36"/>
          <w:szCs w:val="36"/>
          <w:rtl/>
        </w:rPr>
      </w:pPr>
    </w:p>
    <w:p w14:paraId="7BA42225" w14:textId="77777777" w:rsidR="00F619AB" w:rsidRPr="00822C46" w:rsidRDefault="00F619AB" w:rsidP="009C2F5D">
      <w:pPr>
        <w:spacing w:line="360" w:lineRule="auto"/>
        <w:jc w:val="center"/>
        <w:rPr>
          <w:rFonts w:ascii="David" w:hAnsi="David" w:cs="David"/>
          <w:bCs/>
          <w:color w:val="548DD4"/>
          <w:sz w:val="36"/>
          <w:szCs w:val="36"/>
          <w:rtl/>
        </w:rPr>
      </w:pPr>
      <w:r w:rsidRPr="00822C46">
        <w:rPr>
          <w:rFonts w:ascii="David" w:hAnsi="David" w:cs="David"/>
          <w:bCs/>
          <w:color w:val="548DD4"/>
          <w:sz w:val="36"/>
          <w:szCs w:val="36"/>
          <w:rtl/>
        </w:rPr>
        <w:t xml:space="preserve">שם ומספר הקורס: </w:t>
      </w:r>
      <w:r w:rsidR="009C2F5D">
        <w:rPr>
          <w:rFonts w:ascii="David" w:hAnsi="David" w:cs="David" w:hint="cs"/>
          <w:bCs/>
          <w:color w:val="548DD4"/>
          <w:sz w:val="36"/>
          <w:szCs w:val="36"/>
          <w:rtl/>
        </w:rPr>
        <w:t>על</w:t>
      </w:r>
      <w:r w:rsidRPr="00822C46">
        <w:rPr>
          <w:rFonts w:ascii="David" w:hAnsi="David" w:cs="David"/>
          <w:bCs/>
          <w:color w:val="548DD4"/>
          <w:sz w:val="36"/>
          <w:szCs w:val="36"/>
          <w:rtl/>
        </w:rPr>
        <w:t xml:space="preserve"> </w:t>
      </w:r>
      <w:r w:rsidR="009C2F5D">
        <w:rPr>
          <w:rFonts w:ascii="David" w:hAnsi="David" w:cs="David" w:hint="cs"/>
          <w:bCs/>
          <w:color w:val="548DD4"/>
          <w:sz w:val="36"/>
          <w:szCs w:val="36"/>
          <w:rtl/>
        </w:rPr>
        <w:t>ה</w:t>
      </w:r>
      <w:r>
        <w:rPr>
          <w:rFonts w:ascii="David" w:hAnsi="David" w:cs="David" w:hint="cs"/>
          <w:bCs/>
          <w:color w:val="548DD4"/>
          <w:sz w:val="36"/>
          <w:szCs w:val="36"/>
          <w:rtl/>
        </w:rPr>
        <w:t>ספרות ה</w:t>
      </w:r>
      <w:r w:rsidR="009C2F5D">
        <w:rPr>
          <w:rFonts w:ascii="David" w:hAnsi="David" w:cs="David" w:hint="cs"/>
          <w:bCs/>
          <w:color w:val="548DD4"/>
          <w:sz w:val="36"/>
          <w:szCs w:val="36"/>
          <w:rtl/>
        </w:rPr>
        <w:t xml:space="preserve">הלכתית </w:t>
      </w:r>
      <w:r>
        <w:rPr>
          <w:rFonts w:ascii="David" w:hAnsi="David" w:cs="David" w:hint="cs"/>
          <w:bCs/>
          <w:color w:val="548DD4"/>
          <w:sz w:val="36"/>
          <w:szCs w:val="36"/>
          <w:rtl/>
        </w:rPr>
        <w:t>ב</w:t>
      </w:r>
      <w:r w:rsidR="00650D15">
        <w:rPr>
          <w:rFonts w:ascii="David" w:hAnsi="David" w:cs="David" w:hint="cs"/>
          <w:bCs/>
          <w:color w:val="548DD4"/>
          <w:sz w:val="36"/>
          <w:szCs w:val="36"/>
          <w:rtl/>
        </w:rPr>
        <w:t>ספרד</w:t>
      </w:r>
    </w:p>
    <w:p w14:paraId="62BECFD6" w14:textId="77777777" w:rsidR="00F619AB" w:rsidRPr="009C2F5D" w:rsidRDefault="009C2F5D" w:rsidP="00F619AB">
      <w:pPr>
        <w:spacing w:line="360" w:lineRule="auto"/>
        <w:jc w:val="center"/>
        <w:rPr>
          <w:rFonts w:ascii="David" w:hAnsi="David" w:cs="David"/>
          <w:b/>
          <w:bCs/>
          <w:color w:val="548DD4"/>
          <w:sz w:val="44"/>
          <w:szCs w:val="44"/>
        </w:rPr>
      </w:pPr>
      <w:r w:rsidRPr="009C2F5D">
        <w:rPr>
          <w:rFonts w:ascii="David" w:hAnsi="David" w:cs="David"/>
          <w:b/>
          <w:bCs/>
          <w:color w:val="548DD4"/>
          <w:sz w:val="32"/>
          <w:szCs w:val="32"/>
        </w:rPr>
        <w:t>09-019-01</w:t>
      </w:r>
    </w:p>
    <w:p w14:paraId="4D38423F" w14:textId="77777777" w:rsidR="00F619AB" w:rsidRPr="00822C46" w:rsidRDefault="00F619AB" w:rsidP="00F619AB">
      <w:pPr>
        <w:spacing w:line="360" w:lineRule="auto"/>
        <w:jc w:val="center"/>
        <w:rPr>
          <w:rFonts w:ascii="David" w:hAnsi="David" w:cs="David"/>
          <w:color w:val="548DD4"/>
          <w:szCs w:val="20"/>
          <w:rtl/>
        </w:rPr>
      </w:pPr>
      <w:r w:rsidRPr="00822C46">
        <w:rPr>
          <w:rFonts w:ascii="David" w:hAnsi="David" w:cs="David"/>
          <w:bCs/>
          <w:color w:val="548DD4"/>
          <w:sz w:val="36"/>
          <w:szCs w:val="28"/>
          <w:rtl/>
        </w:rPr>
        <w:t xml:space="preserve">שם המרצה: </w:t>
      </w:r>
      <w:proofErr w:type="spellStart"/>
      <w:r>
        <w:rPr>
          <w:rFonts w:ascii="David" w:hAnsi="David" w:cs="David" w:hint="cs"/>
          <w:bCs/>
          <w:color w:val="548DD4"/>
          <w:sz w:val="36"/>
          <w:szCs w:val="28"/>
          <w:rtl/>
        </w:rPr>
        <w:t>יהודא</w:t>
      </w:r>
      <w:proofErr w:type="spellEnd"/>
      <w:r>
        <w:rPr>
          <w:rFonts w:ascii="David" w:hAnsi="David" w:cs="David" w:hint="cs"/>
          <w:bCs/>
          <w:color w:val="548DD4"/>
          <w:sz w:val="36"/>
          <w:szCs w:val="28"/>
          <w:rtl/>
        </w:rPr>
        <w:t xml:space="preserve"> </w:t>
      </w:r>
      <w:proofErr w:type="spellStart"/>
      <w:r>
        <w:rPr>
          <w:rFonts w:ascii="David" w:hAnsi="David" w:cs="David" w:hint="cs"/>
          <w:bCs/>
          <w:color w:val="548DD4"/>
          <w:sz w:val="36"/>
          <w:szCs w:val="28"/>
          <w:rtl/>
        </w:rPr>
        <w:t>גלינסקי</w:t>
      </w:r>
      <w:proofErr w:type="spellEnd"/>
    </w:p>
    <w:p w14:paraId="02524E3F" w14:textId="77777777" w:rsidR="00F619AB" w:rsidRDefault="00F619AB" w:rsidP="0078321B">
      <w:pPr>
        <w:spacing w:line="360" w:lineRule="auto"/>
        <w:jc w:val="center"/>
        <w:rPr>
          <w:rFonts w:ascii="David" w:hAnsi="David" w:cs="David"/>
          <w:color w:val="548DD4"/>
          <w:rtl/>
        </w:rPr>
      </w:pPr>
      <w:r w:rsidRPr="00822C46">
        <w:rPr>
          <w:rFonts w:ascii="David" w:hAnsi="David" w:cs="David"/>
          <w:b/>
          <w:bCs/>
          <w:color w:val="548DD4"/>
          <w:rtl/>
        </w:rPr>
        <w:t>סוג הקורס:</w:t>
      </w:r>
      <w:r w:rsidRPr="00822C46">
        <w:rPr>
          <w:rFonts w:ascii="David" w:hAnsi="David" w:cs="David"/>
          <w:color w:val="548DD4"/>
          <w:rtl/>
        </w:rPr>
        <w:t xml:space="preserve"> </w:t>
      </w:r>
      <w:r w:rsidR="0078321B">
        <w:rPr>
          <w:rFonts w:ascii="David" w:hAnsi="David" w:cs="David" w:hint="cs"/>
          <w:color w:val="548DD4"/>
          <w:rtl/>
        </w:rPr>
        <w:t>הרצאה</w:t>
      </w:r>
    </w:p>
    <w:p w14:paraId="2A9074D2" w14:textId="77777777" w:rsidR="00F619AB" w:rsidRPr="00822C46" w:rsidRDefault="00F619AB" w:rsidP="009C2F5D">
      <w:pPr>
        <w:spacing w:line="360" w:lineRule="auto"/>
        <w:rPr>
          <w:rFonts w:ascii="David" w:hAnsi="David" w:cs="David"/>
          <w:color w:val="548DD4"/>
        </w:rPr>
      </w:pPr>
      <w:r w:rsidRPr="00822C46">
        <w:rPr>
          <w:rFonts w:ascii="David" w:hAnsi="David" w:cs="David"/>
          <w:b/>
          <w:bCs/>
          <w:color w:val="548DD4"/>
          <w:rtl/>
        </w:rPr>
        <w:t>שנת לימודים</w:t>
      </w:r>
      <w:r w:rsidR="009C2F5D">
        <w:rPr>
          <w:rFonts w:ascii="David" w:hAnsi="David" w:cs="David"/>
          <w:color w:val="548DD4"/>
          <w:rtl/>
        </w:rPr>
        <w:t xml:space="preserve">: </w:t>
      </w:r>
      <w:r w:rsidRPr="00822C46">
        <w:rPr>
          <w:rFonts w:ascii="David" w:hAnsi="David" w:cs="David"/>
          <w:color w:val="548DD4"/>
          <w:rtl/>
        </w:rPr>
        <w:t xml:space="preserve">תשפ"א       </w:t>
      </w:r>
      <w:r w:rsidR="009C2F5D">
        <w:rPr>
          <w:rFonts w:ascii="David" w:hAnsi="David" w:cs="David" w:hint="cs"/>
          <w:color w:val="548DD4"/>
          <w:rtl/>
        </w:rPr>
        <w:t xml:space="preserve">                            </w:t>
      </w:r>
      <w:r w:rsidRPr="00822C46">
        <w:rPr>
          <w:rFonts w:ascii="David" w:hAnsi="David" w:cs="David"/>
          <w:color w:val="548DD4"/>
          <w:rtl/>
        </w:rPr>
        <w:t xml:space="preserve"> </w:t>
      </w:r>
      <w:r w:rsidRPr="00822C46">
        <w:rPr>
          <w:rFonts w:ascii="David" w:hAnsi="David" w:cs="David"/>
          <w:b/>
          <w:bCs/>
          <w:color w:val="548DD4"/>
          <w:rtl/>
        </w:rPr>
        <w:t>סמסטר</w:t>
      </w:r>
      <w:r w:rsidR="009C2F5D">
        <w:rPr>
          <w:rFonts w:ascii="David" w:hAnsi="David" w:cs="David"/>
          <w:color w:val="548DD4"/>
          <w:rtl/>
        </w:rPr>
        <w:t xml:space="preserve">: </w:t>
      </w:r>
      <w:r w:rsidR="008F5774">
        <w:rPr>
          <w:rFonts w:ascii="David" w:hAnsi="David" w:cs="David" w:hint="cs"/>
          <w:color w:val="548DD4"/>
          <w:rtl/>
        </w:rPr>
        <w:t>ב</w:t>
      </w:r>
      <w:r w:rsidR="009C2F5D">
        <w:rPr>
          <w:rFonts w:ascii="David" w:hAnsi="David" w:cs="David" w:hint="cs"/>
          <w:color w:val="548DD4"/>
          <w:rtl/>
        </w:rPr>
        <w:t>'</w:t>
      </w:r>
      <w:r w:rsidRPr="00822C46">
        <w:rPr>
          <w:rFonts w:ascii="David" w:hAnsi="David" w:cs="David"/>
          <w:color w:val="548DD4"/>
          <w:rtl/>
        </w:rPr>
        <w:t xml:space="preserve">                     </w:t>
      </w:r>
      <w:r w:rsidRPr="00822C46">
        <w:rPr>
          <w:rFonts w:ascii="David" w:hAnsi="David" w:cs="David"/>
          <w:b/>
          <w:bCs/>
          <w:color w:val="548DD4"/>
          <w:rtl/>
        </w:rPr>
        <w:t>היקף שעות</w:t>
      </w:r>
      <w:r w:rsidR="009C2F5D">
        <w:rPr>
          <w:rFonts w:ascii="David" w:hAnsi="David" w:cs="David"/>
          <w:color w:val="548DD4"/>
          <w:rtl/>
        </w:rPr>
        <w:t xml:space="preserve">: </w:t>
      </w:r>
      <w:r w:rsidR="009C2F5D">
        <w:rPr>
          <w:rFonts w:ascii="David" w:hAnsi="David" w:cs="David" w:hint="cs"/>
          <w:color w:val="548DD4"/>
          <w:rtl/>
        </w:rPr>
        <w:t xml:space="preserve">1 </w:t>
      </w:r>
      <w:proofErr w:type="spellStart"/>
      <w:r w:rsidR="009C2F5D">
        <w:rPr>
          <w:rFonts w:ascii="David" w:hAnsi="David" w:cs="David" w:hint="cs"/>
          <w:color w:val="548DD4"/>
          <w:rtl/>
        </w:rPr>
        <w:t>ש"ש</w:t>
      </w:r>
      <w:proofErr w:type="spellEnd"/>
    </w:p>
    <w:p w14:paraId="02DE5D09" w14:textId="77777777" w:rsidR="00F619AB" w:rsidRPr="009C2F5D" w:rsidRDefault="009C2F5D" w:rsidP="00F619AB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9C2F5D">
        <w:rPr>
          <w:rFonts w:ascii="Calibri" w:eastAsia="Calibri" w:hAnsi="Calibri" w:cs="Arial"/>
          <w:sz w:val="22"/>
          <w:szCs w:val="22"/>
          <w:rtl/>
        </w:rPr>
        <w:t>אתר הקורס באינטרנט:</w:t>
      </w:r>
      <w:r w:rsidRPr="009C2F5D">
        <w:rPr>
          <w:rFonts w:ascii="Calibri" w:eastAsia="Calibri" w:hAnsi="Calibri" w:cs="Arial" w:hint="cs"/>
          <w:sz w:val="22"/>
          <w:szCs w:val="22"/>
          <w:rtl/>
        </w:rPr>
        <w:t xml:space="preserve"> </w:t>
      </w:r>
      <w:r w:rsidRPr="009C2F5D">
        <w:rPr>
          <w:rFonts w:ascii="Calibri" w:eastAsia="Calibri" w:hAnsi="Calibri" w:cs="Arial"/>
          <w:sz w:val="22"/>
          <w:szCs w:val="22"/>
        </w:rPr>
        <w:t>lemida.biu.ac.il</w:t>
      </w:r>
    </w:p>
    <w:p w14:paraId="27A3C3FD" w14:textId="77777777" w:rsidR="00F619AB" w:rsidRPr="00822C46" w:rsidRDefault="00F619AB" w:rsidP="00F619AB">
      <w:pPr>
        <w:spacing w:line="360" w:lineRule="auto"/>
        <w:ind w:left="26"/>
        <w:rPr>
          <w:rFonts w:ascii="David" w:hAnsi="David" w:cs="David"/>
          <w:b/>
          <w:bCs/>
          <w:sz w:val="28"/>
          <w:szCs w:val="28"/>
          <w:rtl/>
        </w:rPr>
      </w:pPr>
      <w:r w:rsidRPr="00822C46">
        <w:rPr>
          <w:rFonts w:ascii="David" w:hAnsi="David" w:cs="David"/>
          <w:b/>
          <w:bCs/>
          <w:sz w:val="28"/>
          <w:szCs w:val="28"/>
          <w:rtl/>
        </w:rPr>
        <w:t>א. מטרות הקורס ותוצרי למידה (מטרות על / מטרות ספציפיות):</w:t>
      </w:r>
    </w:p>
    <w:p w14:paraId="50A290B6" w14:textId="77777777" w:rsidR="00F619AB" w:rsidRDefault="00F619AB" w:rsidP="00F619AB">
      <w:pPr>
        <w:spacing w:line="360" w:lineRule="auto"/>
        <w:rPr>
          <w:rFonts w:ascii="David" w:hAnsi="David" w:cs="David"/>
          <w:rtl/>
        </w:rPr>
      </w:pPr>
      <w:r w:rsidRPr="00822C46">
        <w:rPr>
          <w:rFonts w:ascii="David" w:hAnsi="David" w:cs="David"/>
          <w:sz w:val="28"/>
          <w:szCs w:val="28"/>
          <w:rtl/>
        </w:rPr>
        <w:t xml:space="preserve">מטרת הקורס – </w:t>
      </w:r>
      <w:r w:rsidRPr="00822C46">
        <w:rPr>
          <w:rFonts w:ascii="David" w:hAnsi="David" w:cs="David"/>
          <w:rtl/>
        </w:rPr>
        <w:t>ל</w:t>
      </w:r>
      <w:r>
        <w:rPr>
          <w:rFonts w:ascii="David" w:hAnsi="David" w:cs="David" w:hint="cs"/>
          <w:rtl/>
        </w:rPr>
        <w:t>הכיר מקרוב את ההתפתחויות שקרו בספרות ההלכה ב</w:t>
      </w:r>
      <w:r w:rsidR="00066900">
        <w:rPr>
          <w:rFonts w:ascii="David" w:hAnsi="David" w:cs="David" w:hint="cs"/>
          <w:rtl/>
        </w:rPr>
        <w:t xml:space="preserve">ספרד </w:t>
      </w:r>
      <w:r>
        <w:rPr>
          <w:rFonts w:ascii="David" w:hAnsi="David" w:cs="David" w:hint="cs"/>
          <w:rtl/>
        </w:rPr>
        <w:t>במהלך ימי הביניים.</w:t>
      </w:r>
      <w:r w:rsidR="00650D15">
        <w:rPr>
          <w:rFonts w:ascii="David" w:hAnsi="David" w:cs="David" w:hint="cs"/>
          <w:rtl/>
        </w:rPr>
        <w:t xml:space="preserve"> ספרות ההלכה בספרד, לעומת זו של צרפת, תמיד הייתה במרכז היצירה של גדולי החכמים</w:t>
      </w:r>
      <w:r>
        <w:rPr>
          <w:rFonts w:ascii="David" w:hAnsi="David" w:cs="David" w:hint="cs"/>
          <w:rtl/>
        </w:rPr>
        <w:t xml:space="preserve">. </w:t>
      </w:r>
      <w:r w:rsidR="00650D15">
        <w:rPr>
          <w:rFonts w:ascii="David" w:hAnsi="David" w:cs="David" w:hint="cs"/>
          <w:rtl/>
        </w:rPr>
        <w:t xml:space="preserve">מספיק להזכיר את שמותיהם של גדולי אנדלוסיה שחיו בצל האסלאם, </w:t>
      </w:r>
      <w:proofErr w:type="spellStart"/>
      <w:r w:rsidR="00650D15">
        <w:rPr>
          <w:rFonts w:ascii="David" w:hAnsi="David" w:cs="David" w:hint="cs"/>
          <w:rtl/>
        </w:rPr>
        <w:t>הרי"ף</w:t>
      </w:r>
      <w:proofErr w:type="spellEnd"/>
      <w:r w:rsidR="00650D15">
        <w:rPr>
          <w:rFonts w:ascii="David" w:hAnsi="David" w:cs="David" w:hint="cs"/>
          <w:rtl/>
        </w:rPr>
        <w:t xml:space="preserve">, ר' יצחק אבן </w:t>
      </w:r>
      <w:proofErr w:type="spellStart"/>
      <w:r w:rsidR="00650D15">
        <w:rPr>
          <w:rFonts w:ascii="David" w:hAnsi="David" w:cs="David" w:hint="cs"/>
          <w:rtl/>
        </w:rPr>
        <w:t>גיאת</w:t>
      </w:r>
      <w:proofErr w:type="spellEnd"/>
      <w:r w:rsidR="00650D15">
        <w:rPr>
          <w:rFonts w:ascii="David" w:hAnsi="David" w:cs="David" w:hint="cs"/>
          <w:rtl/>
        </w:rPr>
        <w:t xml:space="preserve"> והרמב"ם כדי להכיר זאת. בקורס זה אנו מעוניינים להתחקות בהמשכו של הסיפור הזה בספרד </w:t>
      </w:r>
      <w:r w:rsidR="00650D15">
        <w:rPr>
          <w:rFonts w:ascii="David" w:hAnsi="David" w:cs="David"/>
          <w:rtl/>
        </w:rPr>
        <w:t>–</w:t>
      </w:r>
      <w:r w:rsidR="00650D15">
        <w:rPr>
          <w:rFonts w:ascii="David" w:hAnsi="David" w:cs="David" w:hint="cs"/>
          <w:rtl/>
        </w:rPr>
        <w:t xml:space="preserve"> לאחר שיהודי ספרד עברו לגור תחת שלטון הנוצרים. מוקד ענייננו תהיה במאה ה-14 כי אז הייתה פריחה של כתיבת הספרות אבל לפני כן נדון במאה ה-13 בו נכתבו מספר חיבורים חשובים. </w:t>
      </w:r>
      <w:r w:rsidR="008F5774">
        <w:rPr>
          <w:rFonts w:ascii="David" w:hAnsi="David" w:cs="David" w:hint="cs"/>
          <w:rtl/>
        </w:rPr>
        <w:t xml:space="preserve">נלמד להכיר שמות של ספרים כמו ספר התרומות, תורת הבית, </w:t>
      </w:r>
      <w:proofErr w:type="spellStart"/>
      <w:r w:rsidR="008F5774">
        <w:rPr>
          <w:rFonts w:ascii="David" w:hAnsi="David" w:cs="David" w:hint="cs"/>
          <w:rtl/>
        </w:rPr>
        <w:t>ארחות</w:t>
      </w:r>
      <w:proofErr w:type="spellEnd"/>
      <w:r w:rsidR="008F5774">
        <w:rPr>
          <w:rFonts w:ascii="David" w:hAnsi="David" w:cs="David" w:hint="cs"/>
          <w:rtl/>
        </w:rPr>
        <w:t xml:space="preserve"> חיים ותולדות אדם וחוה ועוד. </w:t>
      </w:r>
    </w:p>
    <w:p w14:paraId="079671C2" w14:textId="77777777" w:rsidR="00F619AB" w:rsidRPr="00822C46" w:rsidRDefault="00F619AB" w:rsidP="00F619AB">
      <w:pPr>
        <w:spacing w:line="360" w:lineRule="auto"/>
        <w:ind w:left="26"/>
        <w:jc w:val="both"/>
        <w:rPr>
          <w:rFonts w:ascii="David" w:hAnsi="David" w:cs="David"/>
          <w:sz w:val="28"/>
          <w:szCs w:val="28"/>
        </w:rPr>
      </w:pPr>
    </w:p>
    <w:p w14:paraId="3196D893" w14:textId="77777777" w:rsidR="00F619AB" w:rsidRPr="00822C46" w:rsidRDefault="00F619AB" w:rsidP="009E099A">
      <w:pPr>
        <w:spacing w:line="360" w:lineRule="auto"/>
        <w:ind w:left="26"/>
        <w:jc w:val="both"/>
        <w:rPr>
          <w:rFonts w:ascii="David" w:hAnsi="David" w:cs="David"/>
          <w:sz w:val="28"/>
          <w:szCs w:val="28"/>
          <w:rtl/>
        </w:rPr>
      </w:pPr>
      <w:r w:rsidRPr="00556477">
        <w:rPr>
          <w:rFonts w:ascii="David" w:hAnsi="David" w:cs="David"/>
          <w:sz w:val="28"/>
          <w:szCs w:val="28"/>
          <w:rtl/>
        </w:rPr>
        <w:t xml:space="preserve">תוצרי למידה – </w:t>
      </w:r>
      <w:r w:rsidRPr="00556477">
        <w:rPr>
          <w:rFonts w:ascii="David" w:hAnsi="David" w:cs="David"/>
          <w:rtl/>
        </w:rPr>
        <w:t xml:space="preserve">התלמידים </w:t>
      </w:r>
      <w:r w:rsidRPr="00556477">
        <w:rPr>
          <w:rFonts w:ascii="David" w:hAnsi="David" w:cs="David" w:hint="cs"/>
          <w:rtl/>
        </w:rPr>
        <w:t xml:space="preserve">ילמדו להכיר מקרוב את </w:t>
      </w:r>
      <w:r>
        <w:rPr>
          <w:rFonts w:ascii="David" w:hAnsi="David" w:cs="David" w:hint="cs"/>
          <w:rtl/>
        </w:rPr>
        <w:t xml:space="preserve">הספרות ההלכתית של </w:t>
      </w:r>
      <w:r w:rsidR="00650D15">
        <w:rPr>
          <w:rFonts w:ascii="David" w:hAnsi="David" w:cs="David" w:hint="cs"/>
          <w:rtl/>
        </w:rPr>
        <w:t>ספרד הנוצרית בימי הביניים</w:t>
      </w:r>
      <w:r>
        <w:rPr>
          <w:rFonts w:ascii="David" w:hAnsi="David" w:cs="David" w:hint="cs"/>
          <w:rtl/>
        </w:rPr>
        <w:t>, שדי נשכחה במהלך השנים</w:t>
      </w:r>
      <w:r w:rsidRPr="00556477">
        <w:rPr>
          <w:rFonts w:ascii="David" w:hAnsi="David" w:cs="David" w:hint="cs"/>
          <w:rtl/>
        </w:rPr>
        <w:t xml:space="preserve">. יכירו </w:t>
      </w:r>
      <w:r>
        <w:rPr>
          <w:rFonts w:ascii="David" w:hAnsi="David" w:cs="David" w:hint="cs"/>
          <w:rtl/>
        </w:rPr>
        <w:t xml:space="preserve">את </w:t>
      </w:r>
      <w:r w:rsidRPr="00556477">
        <w:rPr>
          <w:rFonts w:ascii="David" w:hAnsi="David" w:cs="David" w:hint="cs"/>
          <w:rtl/>
        </w:rPr>
        <w:t xml:space="preserve">כיצד </w:t>
      </w:r>
      <w:r>
        <w:rPr>
          <w:rFonts w:ascii="David" w:hAnsi="David" w:cs="David" w:hint="cs"/>
          <w:rtl/>
        </w:rPr>
        <w:t>ספרות זו התפתחה, בתחילה בצעדים קטנים</w:t>
      </w:r>
      <w:r w:rsidR="008F5774">
        <w:rPr>
          <w:rFonts w:ascii="David" w:hAnsi="David" w:cs="David" w:hint="cs"/>
          <w:rtl/>
        </w:rPr>
        <w:t xml:space="preserve"> במאה ה-13</w:t>
      </w:r>
      <w:r>
        <w:rPr>
          <w:rFonts w:ascii="David" w:hAnsi="David" w:cs="David" w:hint="cs"/>
          <w:rtl/>
        </w:rPr>
        <w:t>, ובמהלך המאה ה-1</w:t>
      </w:r>
      <w:r w:rsidR="00650D15">
        <w:rPr>
          <w:rFonts w:ascii="David" w:hAnsi="David" w:cs="David" w:hint="cs"/>
          <w:rtl/>
        </w:rPr>
        <w:t>4</w:t>
      </w:r>
      <w:r>
        <w:rPr>
          <w:rFonts w:ascii="David" w:hAnsi="David" w:cs="David" w:hint="cs"/>
          <w:rtl/>
        </w:rPr>
        <w:t xml:space="preserve"> פרחה. נעמוד על הגורמים החברתיים והספרותיים שהביאו לפריחה זו. </w:t>
      </w:r>
      <w:r w:rsidR="008F5774">
        <w:rPr>
          <w:rFonts w:ascii="David" w:hAnsi="David" w:cs="David" w:hint="cs"/>
          <w:rtl/>
        </w:rPr>
        <w:t xml:space="preserve">כמו כן נעמוד על ייחודו של כל חיבור וחיבור, מבנהו, קהל היעד שלו ועוד. </w:t>
      </w:r>
    </w:p>
    <w:p w14:paraId="02FF429E" w14:textId="77777777" w:rsidR="00F619AB" w:rsidRPr="00822C46" w:rsidRDefault="00F619AB" w:rsidP="00F619AB">
      <w:pPr>
        <w:spacing w:line="360" w:lineRule="auto"/>
        <w:ind w:left="26"/>
        <w:rPr>
          <w:rFonts w:ascii="David" w:hAnsi="David" w:cs="David"/>
          <w:b/>
          <w:bCs/>
          <w:sz w:val="28"/>
          <w:szCs w:val="28"/>
          <w:rtl/>
        </w:rPr>
      </w:pPr>
    </w:p>
    <w:p w14:paraId="15AB5841" w14:textId="77777777" w:rsidR="00F619AB" w:rsidRPr="00822C46" w:rsidRDefault="00F619AB" w:rsidP="00F619AB">
      <w:pPr>
        <w:spacing w:line="360" w:lineRule="auto"/>
        <w:ind w:left="26"/>
        <w:rPr>
          <w:rFonts w:ascii="David" w:hAnsi="David" w:cs="David"/>
          <w:sz w:val="28"/>
          <w:szCs w:val="28"/>
          <w:rtl/>
        </w:rPr>
      </w:pPr>
      <w:r w:rsidRPr="00822C46">
        <w:rPr>
          <w:rFonts w:ascii="David" w:hAnsi="David" w:cs="David"/>
          <w:b/>
          <w:bCs/>
          <w:sz w:val="28"/>
          <w:szCs w:val="28"/>
          <w:rtl/>
        </w:rPr>
        <w:t>ב. תוכן הקורס:</w:t>
      </w:r>
    </w:p>
    <w:p w14:paraId="69657993" w14:textId="77777777" w:rsidR="00F619AB" w:rsidRPr="00BE6C91" w:rsidRDefault="00F619AB" w:rsidP="00F619AB">
      <w:pPr>
        <w:spacing w:line="360" w:lineRule="auto"/>
        <w:rPr>
          <w:rFonts w:ascii="David" w:hAnsi="David" w:cs="David"/>
          <w:rtl/>
          <w:lang w:eastAsia="he-IL"/>
        </w:rPr>
      </w:pPr>
      <w:r w:rsidRPr="00822C46">
        <w:rPr>
          <w:rFonts w:ascii="David" w:hAnsi="David" w:cs="David"/>
          <w:b/>
          <w:bCs/>
          <w:sz w:val="28"/>
          <w:szCs w:val="28"/>
          <w:rtl/>
        </w:rPr>
        <w:t>רציונל, נושאים:</w:t>
      </w:r>
      <w:r w:rsidRPr="00822C46">
        <w:rPr>
          <w:rFonts w:ascii="David" w:hAnsi="David" w:cs="David"/>
          <w:sz w:val="28"/>
          <w:szCs w:val="28"/>
          <w:rtl/>
        </w:rPr>
        <w:t xml:space="preserve"> </w:t>
      </w:r>
    </w:p>
    <w:p w14:paraId="74F5E393" w14:textId="77777777" w:rsidR="00F619AB" w:rsidRPr="00BE6C91" w:rsidRDefault="00F619AB" w:rsidP="00F619AB">
      <w:pPr>
        <w:spacing w:line="360" w:lineRule="auto"/>
        <w:rPr>
          <w:rFonts w:ascii="David" w:hAnsi="David" w:cs="David"/>
          <w:rtl/>
          <w:lang w:eastAsia="he-IL"/>
        </w:rPr>
      </w:pPr>
      <w:r w:rsidRPr="00BE6C91">
        <w:rPr>
          <w:rFonts w:ascii="David" w:hAnsi="David" w:cs="David" w:hint="cs"/>
          <w:rtl/>
          <w:lang w:eastAsia="he-IL"/>
        </w:rPr>
        <w:t xml:space="preserve">חכמי </w:t>
      </w:r>
      <w:r w:rsidR="008F5774">
        <w:rPr>
          <w:rFonts w:ascii="David" w:hAnsi="David" w:cs="David" w:hint="cs"/>
          <w:rtl/>
          <w:lang w:eastAsia="he-IL"/>
        </w:rPr>
        <w:t xml:space="preserve">ספרד </w:t>
      </w:r>
      <w:r w:rsidRPr="00BE6C91">
        <w:rPr>
          <w:rFonts w:ascii="David" w:hAnsi="David" w:cs="David" w:hint="cs"/>
          <w:rtl/>
          <w:lang w:eastAsia="he-IL"/>
        </w:rPr>
        <w:t xml:space="preserve">ידועים </w:t>
      </w:r>
      <w:r w:rsidR="008F5774">
        <w:rPr>
          <w:rFonts w:ascii="David" w:hAnsi="David" w:cs="David" w:hint="cs"/>
          <w:rtl/>
          <w:lang w:eastAsia="he-IL"/>
        </w:rPr>
        <w:t xml:space="preserve">בכתיבתם ההלכתית אבל לרוב מכירים רק את אילו שפעלו בספרד המוסלמית. </w:t>
      </w:r>
      <w:r w:rsidRPr="00BE6C91">
        <w:rPr>
          <w:rFonts w:ascii="David" w:hAnsi="David" w:cs="David" w:hint="cs"/>
          <w:rtl/>
          <w:lang w:eastAsia="he-IL"/>
        </w:rPr>
        <w:t xml:space="preserve"> בקורס זה נלמד </w:t>
      </w:r>
      <w:r w:rsidR="008F5774">
        <w:rPr>
          <w:rFonts w:ascii="David" w:hAnsi="David" w:cs="David" w:hint="cs"/>
          <w:rtl/>
          <w:lang w:eastAsia="he-IL"/>
        </w:rPr>
        <w:t xml:space="preserve">להכיר את תרומתם של חכמי ספרד שפעלו </w:t>
      </w:r>
      <w:r w:rsidR="00A83B61">
        <w:rPr>
          <w:rFonts w:ascii="David" w:hAnsi="David" w:cs="David" w:hint="cs"/>
          <w:rtl/>
          <w:lang w:eastAsia="he-IL"/>
        </w:rPr>
        <w:t xml:space="preserve">בספרד הנוצרית בארגון-קטלוניה ובקסטיליה במהלך המאות </w:t>
      </w:r>
      <w:r w:rsidR="00A83B61">
        <w:rPr>
          <w:rFonts w:ascii="David" w:hAnsi="David" w:cs="David" w:hint="cs"/>
          <w:rtl/>
          <w:lang w:eastAsia="he-IL"/>
        </w:rPr>
        <w:lastRenderedPageBreak/>
        <w:t xml:space="preserve">ה-13 וה-14. נעמוד </w:t>
      </w:r>
      <w:r w:rsidRPr="00BE6C91">
        <w:rPr>
          <w:rFonts w:ascii="David" w:hAnsi="David" w:cs="David" w:hint="cs"/>
          <w:rtl/>
          <w:lang w:eastAsia="he-IL"/>
        </w:rPr>
        <w:t>על ההתפתחויו</w:t>
      </w:r>
      <w:r w:rsidRPr="00BE6C91">
        <w:rPr>
          <w:rFonts w:ascii="David" w:hAnsi="David" w:cs="David" w:hint="eastAsia"/>
          <w:rtl/>
          <w:lang w:eastAsia="he-IL"/>
        </w:rPr>
        <w:t>ת</w:t>
      </w:r>
      <w:r w:rsidRPr="00BE6C91">
        <w:rPr>
          <w:rFonts w:ascii="David" w:hAnsi="David" w:cs="David" w:hint="cs"/>
          <w:rtl/>
          <w:lang w:eastAsia="he-IL"/>
        </w:rPr>
        <w:t xml:space="preserve"> שחלו בכתיבת ספרות הלכה על ידי עיון מעמיק בספרים וכן ננסה להסביר את הרקע להתפתחויו</w:t>
      </w:r>
      <w:r w:rsidRPr="00BE6C91">
        <w:rPr>
          <w:rFonts w:ascii="David" w:hAnsi="David" w:cs="David" w:hint="eastAsia"/>
          <w:rtl/>
          <w:lang w:eastAsia="he-IL"/>
        </w:rPr>
        <w:t>ת</w:t>
      </w:r>
      <w:r w:rsidRPr="00BE6C91">
        <w:rPr>
          <w:rFonts w:ascii="David" w:hAnsi="David" w:cs="David" w:hint="cs"/>
          <w:rtl/>
          <w:lang w:eastAsia="he-IL"/>
        </w:rPr>
        <w:t xml:space="preserve">.  </w:t>
      </w:r>
    </w:p>
    <w:p w14:paraId="1828832E" w14:textId="77777777" w:rsidR="00F619AB" w:rsidRPr="00075B6D" w:rsidRDefault="00F619AB" w:rsidP="00A83B61">
      <w:pPr>
        <w:spacing w:line="360" w:lineRule="auto"/>
        <w:rPr>
          <w:rFonts w:ascii="David" w:hAnsi="David" w:cs="David"/>
          <w:rtl/>
          <w:lang w:eastAsia="he-IL"/>
        </w:rPr>
      </w:pPr>
      <w:r>
        <w:rPr>
          <w:rFonts w:ascii="David" w:hAnsi="David" w:cs="David" w:hint="cs"/>
          <w:rtl/>
          <w:lang w:eastAsia="he-IL"/>
        </w:rPr>
        <w:t>הנושאים בו נעסוק הם תיאור הספרות</w:t>
      </w:r>
      <w:r w:rsidR="00A83B61">
        <w:rPr>
          <w:rFonts w:ascii="David" w:hAnsi="David" w:cs="David" w:hint="cs"/>
          <w:rtl/>
          <w:lang w:eastAsia="he-IL"/>
        </w:rPr>
        <w:t xml:space="preserve">, </w:t>
      </w:r>
      <w:r>
        <w:rPr>
          <w:rFonts w:ascii="David" w:hAnsi="David" w:cs="David" w:hint="cs"/>
          <w:rtl/>
          <w:lang w:eastAsia="he-IL"/>
        </w:rPr>
        <w:t xml:space="preserve">הבנת קהל היעד של המחבר - עבור מי כתב את ספרו. ניסיון להבין את ההיגיון מאחורי המבנה של החיבור. ניסיון להסביר את הרקע וההקשר החברתי והספרותי לכתיבת הספרות. </w:t>
      </w:r>
    </w:p>
    <w:p w14:paraId="653D2A17" w14:textId="77777777" w:rsidR="00F619AB" w:rsidRPr="00822C46" w:rsidRDefault="00F619AB" w:rsidP="00F619AB">
      <w:pPr>
        <w:spacing w:line="360" w:lineRule="auto"/>
        <w:ind w:left="26"/>
        <w:jc w:val="both"/>
        <w:rPr>
          <w:rFonts w:ascii="David" w:hAnsi="David" w:cs="David"/>
          <w:sz w:val="28"/>
          <w:szCs w:val="28"/>
          <w:rtl/>
        </w:rPr>
      </w:pPr>
    </w:p>
    <w:p w14:paraId="76849EE7" w14:textId="371E30EA" w:rsidR="00F619AB" w:rsidRPr="00822C46" w:rsidRDefault="00F619AB" w:rsidP="00F619AB">
      <w:pPr>
        <w:spacing w:line="360" w:lineRule="auto"/>
        <w:ind w:left="26"/>
        <w:jc w:val="both"/>
        <w:rPr>
          <w:rFonts w:ascii="David" w:hAnsi="David" w:cs="David"/>
          <w:sz w:val="28"/>
          <w:szCs w:val="28"/>
          <w:rtl/>
        </w:rPr>
      </w:pPr>
      <w:r w:rsidRPr="00822C46">
        <w:rPr>
          <w:rFonts w:ascii="David" w:hAnsi="David" w:cs="David"/>
          <w:b/>
          <w:bCs/>
          <w:sz w:val="28"/>
          <w:szCs w:val="28"/>
          <w:rtl/>
        </w:rPr>
        <w:t>מהלך השיעורים:</w:t>
      </w:r>
      <w:r w:rsidRPr="00822C46">
        <w:rPr>
          <w:rFonts w:ascii="David" w:hAnsi="David" w:cs="David"/>
          <w:sz w:val="28"/>
          <w:szCs w:val="28"/>
          <w:rtl/>
        </w:rPr>
        <w:t xml:space="preserve"> </w:t>
      </w:r>
      <w:r w:rsidRPr="00822C46">
        <w:rPr>
          <w:rFonts w:ascii="David" w:hAnsi="David" w:cs="David"/>
          <w:rtl/>
        </w:rPr>
        <w:t>הרצאה פרונטלית</w:t>
      </w:r>
      <w:r w:rsidR="00420F62">
        <w:rPr>
          <w:rFonts w:ascii="David" w:hAnsi="David" w:cs="David"/>
        </w:rPr>
        <w:t xml:space="preserve"> </w:t>
      </w:r>
      <w:r w:rsidR="00420F62">
        <w:rPr>
          <w:rFonts w:ascii="David" w:hAnsi="David" w:cs="David" w:hint="cs"/>
          <w:rtl/>
        </w:rPr>
        <w:t xml:space="preserve"> (או בזום)</w:t>
      </w:r>
      <w:r w:rsidRPr="00822C46">
        <w:rPr>
          <w:rFonts w:ascii="David" w:hAnsi="David" w:cs="David"/>
          <w:rtl/>
        </w:rPr>
        <w:t xml:space="preserve"> בשילוב לימוד משותף של המקורות ודיון בכיתה. המקורות יועלו לפני השיעור לאתר מודל, ויוצגו במהלך השיעור בהקרנה על הלוח</w:t>
      </w:r>
      <w:r w:rsidR="00420F62">
        <w:rPr>
          <w:rFonts w:ascii="David" w:hAnsi="David" w:cs="David" w:hint="cs"/>
          <w:rtl/>
        </w:rPr>
        <w:t xml:space="preserve"> (או בזום)</w:t>
      </w:r>
      <w:r w:rsidRPr="00822C46">
        <w:rPr>
          <w:rFonts w:ascii="David" w:hAnsi="David" w:cs="David"/>
          <w:rtl/>
        </w:rPr>
        <w:t>.</w:t>
      </w:r>
    </w:p>
    <w:p w14:paraId="58D0E8FF" w14:textId="77777777" w:rsidR="00F619AB" w:rsidRPr="00822C46" w:rsidRDefault="00F619AB" w:rsidP="00F619AB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618759D3" w14:textId="77777777" w:rsidR="00F619AB" w:rsidRPr="00822C46" w:rsidRDefault="00F619AB" w:rsidP="00F619AB">
      <w:pPr>
        <w:spacing w:line="360" w:lineRule="auto"/>
        <w:ind w:left="26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822C46">
        <w:rPr>
          <w:rFonts w:ascii="David" w:hAnsi="David" w:cs="David"/>
          <w:b/>
          <w:bCs/>
          <w:sz w:val="28"/>
          <w:szCs w:val="28"/>
          <w:rtl/>
        </w:rPr>
        <w:t xml:space="preserve">תכנית הוראה מפורטת לכל השיעורים: </w:t>
      </w:r>
    </w:p>
    <w:p w14:paraId="208DCFAB" w14:textId="77777777" w:rsidR="00F619AB" w:rsidRPr="00F921D4" w:rsidRDefault="00F619AB" w:rsidP="00F619AB">
      <w:pPr>
        <w:rPr>
          <w:b/>
          <w:rtl/>
        </w:rPr>
      </w:pPr>
      <w:r w:rsidRPr="00F921D4">
        <w:rPr>
          <w:b/>
          <w:rtl/>
        </w:rPr>
        <w:t xml:space="preserve">    תכנית הוראה מפורטת לכל השיעורים: (רשימה או טבלה כדוגמת </w:t>
      </w:r>
      <w:proofErr w:type="spellStart"/>
      <w:r w:rsidRPr="00F921D4">
        <w:rPr>
          <w:b/>
          <w:rtl/>
        </w:rPr>
        <w:t>המצ"ב</w:t>
      </w:r>
      <w:proofErr w:type="spellEnd"/>
      <w:r w:rsidRPr="00F921D4">
        <w:rPr>
          <w:b/>
          <w:rtl/>
        </w:rPr>
        <w:t>)</w:t>
      </w:r>
    </w:p>
    <w:p w14:paraId="7B6488B1" w14:textId="77777777" w:rsidR="00F619AB" w:rsidRPr="00F619AB" w:rsidRDefault="00F619AB" w:rsidP="00F619AB">
      <w:pPr>
        <w:rPr>
          <w:b/>
          <w:rtl/>
          <w:lang w:eastAsia="he-IL"/>
        </w:rPr>
      </w:pPr>
    </w:p>
    <w:p w14:paraId="5ADCE9A2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 xml:space="preserve">1. </w:t>
      </w:r>
      <w:r w:rsidRPr="00F619AB">
        <w:rPr>
          <w:rFonts w:hint="cs"/>
          <w:bCs/>
          <w:rtl/>
          <w:lang w:eastAsia="he-IL"/>
        </w:rPr>
        <w:t>ספרות ההלכה אצל הגאונים – ספרות ה"הלכות" והמונוגרפיות של הגאונים</w:t>
      </w:r>
      <w:r w:rsidRPr="00F619AB">
        <w:rPr>
          <w:rFonts w:hint="cs"/>
          <w:b/>
          <w:rtl/>
          <w:lang w:eastAsia="he-IL"/>
        </w:rPr>
        <w:t xml:space="preserve"> </w:t>
      </w:r>
    </w:p>
    <w:p w14:paraId="67FBC517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rFonts w:hint="cs"/>
          <w:b/>
          <w:rtl/>
          <w:lang w:eastAsia="he-IL"/>
        </w:rPr>
        <w:t>י' ברודי, ציון בין הפרת לחידקל: עולמם של גאוני בבל, ירושלים תשע"ו, עמ' 217-236, 251-268</w:t>
      </w:r>
    </w:p>
    <w:p w14:paraId="40C4EA02" w14:textId="77777777" w:rsidR="00F619AB" w:rsidRPr="00F619AB" w:rsidRDefault="00F619AB" w:rsidP="00F619AB">
      <w:pPr>
        <w:rPr>
          <w:b/>
          <w:rtl/>
          <w:lang w:eastAsia="he-IL"/>
        </w:rPr>
      </w:pPr>
    </w:p>
    <w:p w14:paraId="5D5222B8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rFonts w:hint="cs"/>
          <w:b/>
          <w:rtl/>
          <w:lang w:eastAsia="he-IL"/>
        </w:rPr>
        <w:t xml:space="preserve">2. </w:t>
      </w:r>
      <w:r w:rsidRPr="00F619AB">
        <w:rPr>
          <w:rFonts w:hint="cs"/>
          <w:bCs/>
          <w:rtl/>
          <w:lang w:eastAsia="he-IL"/>
        </w:rPr>
        <w:t xml:space="preserve">ספרות ההלכה באנדלוסיה – </w:t>
      </w:r>
      <w:r>
        <w:rPr>
          <w:rFonts w:hint="cs"/>
          <w:bCs/>
          <w:rtl/>
          <w:lang w:eastAsia="he-IL"/>
        </w:rPr>
        <w:t xml:space="preserve">ר' יצחק אבן </w:t>
      </w:r>
      <w:proofErr w:type="spellStart"/>
      <w:r>
        <w:rPr>
          <w:rFonts w:hint="cs"/>
          <w:bCs/>
          <w:rtl/>
          <w:lang w:eastAsia="he-IL"/>
        </w:rPr>
        <w:t>גיאת</w:t>
      </w:r>
      <w:proofErr w:type="spellEnd"/>
      <w:r>
        <w:rPr>
          <w:rFonts w:hint="cs"/>
          <w:bCs/>
          <w:rtl/>
          <w:lang w:eastAsia="he-IL"/>
        </w:rPr>
        <w:t xml:space="preserve">, </w:t>
      </w:r>
      <w:proofErr w:type="spellStart"/>
      <w:r w:rsidRPr="00F619AB">
        <w:rPr>
          <w:rFonts w:hint="cs"/>
          <w:bCs/>
          <w:rtl/>
          <w:lang w:eastAsia="he-IL"/>
        </w:rPr>
        <w:t>הרי"ף</w:t>
      </w:r>
      <w:proofErr w:type="spellEnd"/>
      <w:r w:rsidRPr="00F619AB">
        <w:rPr>
          <w:rFonts w:hint="cs"/>
          <w:bCs/>
          <w:rtl/>
          <w:lang w:eastAsia="he-IL"/>
        </w:rPr>
        <w:t xml:space="preserve"> והרמב"ם</w:t>
      </w:r>
    </w:p>
    <w:p w14:paraId="330ADE70" w14:textId="77777777" w:rsidR="00F619AB" w:rsidRPr="00F619AB" w:rsidRDefault="00F619AB" w:rsidP="00F619AB">
      <w:pPr>
        <w:rPr>
          <w:b/>
          <w:rtl/>
          <w:lang w:eastAsia="he-IL"/>
        </w:rPr>
      </w:pPr>
      <w:proofErr w:type="spellStart"/>
      <w:r w:rsidRPr="00F619AB">
        <w:rPr>
          <w:b/>
          <w:rtl/>
          <w:lang w:eastAsia="he-IL"/>
        </w:rPr>
        <w:t>י"מ</w:t>
      </w:r>
      <w:proofErr w:type="spellEnd"/>
      <w:r w:rsidRPr="00F619AB">
        <w:rPr>
          <w:b/>
          <w:rtl/>
          <w:lang w:eastAsia="he-IL"/>
        </w:rPr>
        <w:t xml:space="preserve"> ת</w:t>
      </w:r>
      <w:r w:rsidRPr="00F619AB">
        <w:rPr>
          <w:rFonts w:hint="cs"/>
          <w:b/>
          <w:rtl/>
          <w:lang w:eastAsia="he-IL"/>
        </w:rPr>
        <w:t>א</w:t>
      </w:r>
      <w:r w:rsidRPr="00F619AB">
        <w:rPr>
          <w:b/>
          <w:rtl/>
          <w:lang w:eastAsia="he-IL"/>
        </w:rPr>
        <w:t>-שמע, הספרות הפרשנית לתלמוד חלק א, ירושלים תש"ס,  עמ' 15</w:t>
      </w:r>
      <w:r w:rsidRPr="00F619AB">
        <w:rPr>
          <w:rFonts w:hint="cs"/>
          <w:b/>
          <w:rtl/>
          <w:lang w:eastAsia="he-IL"/>
        </w:rPr>
        <w:t>4</w:t>
      </w:r>
      <w:r w:rsidRPr="00F619AB">
        <w:rPr>
          <w:b/>
          <w:rtl/>
          <w:lang w:eastAsia="he-IL"/>
        </w:rPr>
        <w:t>-145</w:t>
      </w:r>
    </w:p>
    <w:p w14:paraId="43043040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</w:rPr>
        <w:t>)</w:t>
      </w:r>
      <w:r w:rsidRPr="00F619AB">
        <w:rPr>
          <w:b/>
          <w:rtl/>
          <w:lang w:eastAsia="he-IL"/>
        </w:rPr>
        <w:t>ישראל משה תא-שמע,</w:t>
      </w:r>
      <w:r w:rsidRPr="00F619AB">
        <w:rPr>
          <w:rFonts w:hint="cs"/>
          <w:b/>
          <w:rtl/>
          <w:lang w:eastAsia="he-IL"/>
        </w:rPr>
        <w:t xml:space="preserve"> </w:t>
      </w:r>
      <w:r w:rsidRPr="00F619AB">
        <w:rPr>
          <w:b/>
          <w:rtl/>
          <w:lang w:eastAsia="he-IL"/>
        </w:rPr>
        <w:t>כנסת מחקרים; עיונים בספרות הרבנית בימי הביניים, [כרך] ב: ספרד. ירושלים: מוסד ביאליק, תשס</w:t>
      </w:r>
      <w:r w:rsidRPr="00F619AB">
        <w:rPr>
          <w:rFonts w:hint="cs"/>
          <w:b/>
          <w:rtl/>
          <w:lang w:eastAsia="he-IL"/>
        </w:rPr>
        <w:t>"</w:t>
      </w:r>
      <w:r w:rsidRPr="00F619AB">
        <w:rPr>
          <w:b/>
          <w:rtl/>
          <w:lang w:eastAsia="he-IL"/>
        </w:rPr>
        <w:t>ד</w:t>
      </w:r>
      <w:r w:rsidRPr="00F619AB">
        <w:rPr>
          <w:rFonts w:hint="cs"/>
          <w:b/>
          <w:rtl/>
          <w:lang w:eastAsia="he-IL"/>
        </w:rPr>
        <w:t xml:space="preserve">, עמ' 239-260. </w:t>
      </w:r>
      <w:r w:rsidRPr="00F619AB">
        <w:rPr>
          <w:b/>
        </w:rPr>
        <w:t>(</w:t>
      </w:r>
    </w:p>
    <w:p w14:paraId="12BBDE9F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 xml:space="preserve">הערך "משה בן מיימון", אנציקלופדיה העברית, עמ' 547-538 </w:t>
      </w:r>
    </w:p>
    <w:p w14:paraId="4C58254B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rFonts w:hint="cs"/>
          <w:b/>
          <w:rtl/>
          <w:lang w:eastAsia="he-IL"/>
        </w:rPr>
        <w:t xml:space="preserve">מ' </w:t>
      </w:r>
      <w:r w:rsidRPr="00F619AB">
        <w:rPr>
          <w:b/>
          <w:rtl/>
          <w:lang w:eastAsia="he-IL"/>
        </w:rPr>
        <w:t xml:space="preserve">אלון, המשפט העברי, ירושלים תשל"ח, כרך ב, עמ' </w:t>
      </w:r>
      <w:r w:rsidRPr="00F619AB">
        <w:rPr>
          <w:rFonts w:hint="cs"/>
          <w:b/>
          <w:rtl/>
          <w:lang w:eastAsia="he-IL"/>
        </w:rPr>
        <w:t>977-1004.</w:t>
      </w:r>
    </w:p>
    <w:p w14:paraId="6C9B9C8A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</w:rPr>
        <w:t>)</w:t>
      </w:r>
      <w:r w:rsidRPr="00F619AB">
        <w:rPr>
          <w:b/>
          <w:rtl/>
          <w:lang w:eastAsia="he-IL"/>
        </w:rPr>
        <w:t xml:space="preserve">ירחמיאל (רוברט)  ברודי, </w:t>
      </w:r>
      <w:r w:rsidRPr="00F619AB">
        <w:rPr>
          <w:rFonts w:hint="cs"/>
          <w:b/>
          <w:rtl/>
          <w:lang w:eastAsia="he-IL"/>
        </w:rPr>
        <w:t>"</w:t>
      </w:r>
      <w:r w:rsidRPr="00F619AB">
        <w:rPr>
          <w:b/>
          <w:rtl/>
          <w:lang w:eastAsia="he-IL"/>
        </w:rPr>
        <w:t>השפעת חיבורי ההלכה של רב סעדיה גאון על משנה תורה של הרמב"ם</w:t>
      </w:r>
      <w:r w:rsidRPr="00F619AB">
        <w:rPr>
          <w:rFonts w:hint="cs"/>
          <w:b/>
          <w:rtl/>
          <w:lang w:eastAsia="he-IL"/>
        </w:rPr>
        <w:t xml:space="preserve">", בתוך </w:t>
      </w:r>
      <w:r w:rsidRPr="00F619AB">
        <w:rPr>
          <w:b/>
        </w:rPr>
        <w:t xml:space="preserve"> </w:t>
      </w:r>
      <w:r w:rsidRPr="00F619AB">
        <w:rPr>
          <w:b/>
          <w:rtl/>
          <w:lang w:eastAsia="he-IL"/>
        </w:rPr>
        <w:t>הרמב"ם; שמרנות, מקוריות, מהפכנות, א (תש</w:t>
      </w:r>
      <w:r w:rsidRPr="00F619AB">
        <w:rPr>
          <w:rFonts w:hint="cs"/>
          <w:b/>
          <w:rtl/>
          <w:lang w:eastAsia="he-IL"/>
        </w:rPr>
        <w:t xml:space="preserve">"ס) עמ' </w:t>
      </w:r>
      <w:r w:rsidRPr="00F619AB">
        <w:rPr>
          <w:b/>
        </w:rPr>
        <w:t xml:space="preserve"> 211-22</w:t>
      </w:r>
      <w:r w:rsidRPr="00F619AB">
        <w:rPr>
          <w:rFonts w:hint="cs"/>
          <w:b/>
          <w:rtl/>
          <w:lang w:eastAsia="he-IL"/>
        </w:rPr>
        <w:t>.</w:t>
      </w:r>
      <w:r w:rsidRPr="00F619AB">
        <w:rPr>
          <w:b/>
        </w:rPr>
        <w:t>(</w:t>
      </w:r>
    </w:p>
    <w:p w14:paraId="28D1425C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</w:rPr>
        <w:t>)</w:t>
      </w:r>
      <w:proofErr w:type="spellStart"/>
      <w:r w:rsidRPr="00F619AB">
        <w:rPr>
          <w:b/>
          <w:rtl/>
          <w:lang w:eastAsia="he-IL"/>
        </w:rPr>
        <w:t>י"מ</w:t>
      </w:r>
      <w:proofErr w:type="spellEnd"/>
      <w:r w:rsidRPr="00F619AB">
        <w:rPr>
          <w:b/>
          <w:rtl/>
          <w:lang w:eastAsia="he-IL"/>
        </w:rPr>
        <w:t xml:space="preserve"> תא-שמע, הספרות הפרשנית חלק א, עמ' 191-185</w:t>
      </w:r>
      <w:r w:rsidRPr="00F619AB">
        <w:rPr>
          <w:b/>
        </w:rPr>
        <w:t>(</w:t>
      </w:r>
      <w:r w:rsidRPr="00F619AB">
        <w:rPr>
          <w:b/>
          <w:rtl/>
          <w:lang w:eastAsia="he-IL"/>
        </w:rPr>
        <w:t>.</w:t>
      </w:r>
    </w:p>
    <w:p w14:paraId="7EEB905F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</w:rPr>
        <w:t>)</w:t>
      </w:r>
      <w:r w:rsidRPr="00F619AB">
        <w:rPr>
          <w:b/>
          <w:rtl/>
          <w:lang w:eastAsia="he-IL"/>
        </w:rPr>
        <w:t xml:space="preserve">י' </w:t>
      </w:r>
      <w:proofErr w:type="spellStart"/>
      <w:r w:rsidRPr="00F619AB">
        <w:rPr>
          <w:b/>
          <w:rtl/>
          <w:lang w:eastAsia="he-IL"/>
        </w:rPr>
        <w:t>טברסקי</w:t>
      </w:r>
      <w:proofErr w:type="spellEnd"/>
      <w:r w:rsidRPr="00F619AB">
        <w:rPr>
          <w:b/>
          <w:rtl/>
          <w:lang w:eastAsia="he-IL"/>
        </w:rPr>
        <w:t xml:space="preserve">, מבוא למשנה תורה </w:t>
      </w:r>
      <w:proofErr w:type="spellStart"/>
      <w:r w:rsidRPr="00F619AB">
        <w:rPr>
          <w:b/>
          <w:rtl/>
          <w:lang w:eastAsia="he-IL"/>
        </w:rPr>
        <w:t>להרמב"ם</w:t>
      </w:r>
      <w:proofErr w:type="spellEnd"/>
      <w:r w:rsidRPr="00F619AB">
        <w:rPr>
          <w:b/>
          <w:rtl/>
          <w:lang w:eastAsia="he-IL"/>
        </w:rPr>
        <w:t>, ירושלים תשנ"א</w:t>
      </w:r>
      <w:r w:rsidRPr="00F619AB">
        <w:rPr>
          <w:b/>
        </w:rPr>
        <w:t>(</w:t>
      </w:r>
    </w:p>
    <w:p w14:paraId="2E0E7B42" w14:textId="77777777" w:rsidR="00F619AB" w:rsidRPr="00F619AB" w:rsidRDefault="00F619AB" w:rsidP="00F619AB">
      <w:pPr>
        <w:rPr>
          <w:b/>
          <w:rtl/>
          <w:lang w:eastAsia="he-IL"/>
        </w:rPr>
      </w:pPr>
    </w:p>
    <w:p w14:paraId="7C9B586F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rFonts w:hint="cs"/>
          <w:b/>
          <w:rtl/>
          <w:lang w:eastAsia="he-IL"/>
        </w:rPr>
        <w:t xml:space="preserve">3. </w:t>
      </w:r>
      <w:r w:rsidRPr="00F619AB">
        <w:rPr>
          <w:rFonts w:hint="cs"/>
          <w:bCs/>
          <w:rtl/>
          <w:lang w:eastAsia="he-IL"/>
        </w:rPr>
        <w:t>ספרות ההלכה בספרד הנוצרית במאה ה-13</w:t>
      </w:r>
      <w:r>
        <w:rPr>
          <w:rFonts w:hint="cs"/>
          <w:bCs/>
          <w:rtl/>
          <w:lang w:eastAsia="he-IL"/>
        </w:rPr>
        <w:t xml:space="preserve">: </w:t>
      </w:r>
      <w:r w:rsidRPr="00F619AB">
        <w:rPr>
          <w:rFonts w:hint="cs"/>
          <w:bCs/>
          <w:rtl/>
          <w:lang w:eastAsia="he-IL"/>
        </w:rPr>
        <w:t>הל</w:t>
      </w:r>
      <w:r>
        <w:rPr>
          <w:rFonts w:hint="cs"/>
          <w:bCs/>
          <w:rtl/>
          <w:lang w:eastAsia="he-IL"/>
        </w:rPr>
        <w:t>'</w:t>
      </w:r>
      <w:r w:rsidRPr="00F619AB">
        <w:rPr>
          <w:rFonts w:hint="cs"/>
          <w:bCs/>
          <w:rtl/>
          <w:lang w:eastAsia="he-IL"/>
        </w:rPr>
        <w:t xml:space="preserve"> נידה</w:t>
      </w:r>
      <w:r>
        <w:rPr>
          <w:rFonts w:hint="cs"/>
          <w:bCs/>
          <w:rtl/>
          <w:lang w:eastAsia="he-IL"/>
        </w:rPr>
        <w:t xml:space="preserve">, </w:t>
      </w:r>
      <w:r w:rsidRPr="00F619AB">
        <w:rPr>
          <w:rFonts w:hint="cs"/>
          <w:bCs/>
          <w:rtl/>
          <w:lang w:eastAsia="he-IL"/>
        </w:rPr>
        <w:t>תורת האדם לרמב"ן</w:t>
      </w:r>
      <w:r>
        <w:rPr>
          <w:rFonts w:hint="cs"/>
          <w:bCs/>
          <w:rtl/>
          <w:lang w:eastAsia="he-IL"/>
        </w:rPr>
        <w:t xml:space="preserve">; </w:t>
      </w:r>
      <w:r w:rsidRPr="00F619AB">
        <w:rPr>
          <w:rFonts w:hint="cs"/>
          <w:bCs/>
          <w:rtl/>
          <w:lang w:eastAsia="he-IL"/>
        </w:rPr>
        <w:t xml:space="preserve">התרומות </w:t>
      </w:r>
      <w:proofErr w:type="spellStart"/>
      <w:r w:rsidRPr="00F619AB">
        <w:rPr>
          <w:rFonts w:hint="cs"/>
          <w:bCs/>
          <w:rtl/>
          <w:lang w:eastAsia="he-IL"/>
        </w:rPr>
        <w:t>לר</w:t>
      </w:r>
      <w:proofErr w:type="spellEnd"/>
      <w:r w:rsidRPr="00F619AB">
        <w:rPr>
          <w:rFonts w:hint="cs"/>
          <w:bCs/>
          <w:rtl/>
          <w:lang w:eastAsia="he-IL"/>
        </w:rPr>
        <w:t xml:space="preserve">' שמואל </w:t>
      </w:r>
      <w:proofErr w:type="spellStart"/>
      <w:r w:rsidRPr="00F619AB">
        <w:rPr>
          <w:rFonts w:hint="cs"/>
          <w:bCs/>
          <w:rtl/>
          <w:lang w:eastAsia="he-IL"/>
        </w:rPr>
        <w:t>הסרדי</w:t>
      </w:r>
      <w:proofErr w:type="spellEnd"/>
    </w:p>
    <w:p w14:paraId="6E9C82C6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rFonts w:hint="cs"/>
          <w:b/>
          <w:rtl/>
          <w:lang w:eastAsia="he-IL"/>
        </w:rPr>
        <w:t xml:space="preserve">ח"ד </w:t>
      </w:r>
      <w:proofErr w:type="spellStart"/>
      <w:r w:rsidRPr="00F619AB">
        <w:rPr>
          <w:rFonts w:hint="cs"/>
          <w:b/>
          <w:rtl/>
          <w:lang w:eastAsia="he-IL"/>
        </w:rPr>
        <w:t>שעוועל</w:t>
      </w:r>
      <w:proofErr w:type="spellEnd"/>
      <w:r w:rsidRPr="00F619AB">
        <w:rPr>
          <w:rFonts w:hint="cs"/>
          <w:b/>
          <w:rtl/>
          <w:lang w:eastAsia="he-IL"/>
        </w:rPr>
        <w:t xml:space="preserve">, רבנו משה בן נחמן: תולדותיו, חייו, זמנו וחיבוריו (ירושלים </w:t>
      </w:r>
      <w:proofErr w:type="spellStart"/>
      <w:r w:rsidRPr="00F619AB">
        <w:rPr>
          <w:rFonts w:hint="cs"/>
          <w:b/>
          <w:rtl/>
          <w:lang w:eastAsia="he-IL"/>
        </w:rPr>
        <w:t>תש"ן</w:t>
      </w:r>
      <w:proofErr w:type="spellEnd"/>
      <w:r w:rsidRPr="00F619AB">
        <w:rPr>
          <w:rFonts w:hint="cs"/>
          <w:b/>
          <w:rtl/>
          <w:lang w:eastAsia="he-IL"/>
        </w:rPr>
        <w:t xml:space="preserve">), עמ' </w:t>
      </w:r>
      <w:proofErr w:type="spellStart"/>
      <w:r w:rsidRPr="00F619AB">
        <w:rPr>
          <w:rFonts w:hint="cs"/>
          <w:b/>
          <w:rtl/>
          <w:lang w:eastAsia="he-IL"/>
        </w:rPr>
        <w:t>נג</w:t>
      </w:r>
      <w:proofErr w:type="spellEnd"/>
      <w:r w:rsidRPr="00F619AB">
        <w:rPr>
          <w:rFonts w:hint="cs"/>
          <w:b/>
          <w:rtl/>
          <w:lang w:eastAsia="he-IL"/>
        </w:rPr>
        <w:t xml:space="preserve">-נד, </w:t>
      </w:r>
      <w:proofErr w:type="spellStart"/>
      <w:r w:rsidRPr="00F619AB">
        <w:rPr>
          <w:rFonts w:hint="cs"/>
          <w:b/>
          <w:rtl/>
          <w:lang w:eastAsia="he-IL"/>
        </w:rPr>
        <w:t>עו</w:t>
      </w:r>
      <w:proofErr w:type="spellEnd"/>
      <w:r w:rsidRPr="00F619AB">
        <w:rPr>
          <w:rFonts w:hint="cs"/>
          <w:b/>
          <w:rtl/>
          <w:lang w:eastAsia="he-IL"/>
        </w:rPr>
        <w:t>-פו</w:t>
      </w:r>
    </w:p>
    <w:p w14:paraId="0551C7DD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rFonts w:hint="cs"/>
          <w:b/>
          <w:rtl/>
          <w:lang w:eastAsia="he-IL"/>
        </w:rPr>
        <w:t>מנחם אלון, המשפט העברי,</w:t>
      </w:r>
      <w:r w:rsidRPr="00F619AB">
        <w:rPr>
          <w:b/>
          <w:rtl/>
          <w:lang w:eastAsia="he-IL"/>
        </w:rPr>
        <w:t xml:space="preserve"> ירושלים תשל"ח, כרך ב,</w:t>
      </w:r>
      <w:r w:rsidRPr="00F619AB">
        <w:rPr>
          <w:rFonts w:hint="cs"/>
          <w:b/>
          <w:rtl/>
          <w:lang w:eastAsia="he-IL"/>
        </w:rPr>
        <w:t xml:space="preserve"> עמ' 1029-1031. </w:t>
      </w:r>
    </w:p>
    <w:p w14:paraId="2D6D2C59" w14:textId="77777777" w:rsidR="00F619AB" w:rsidRPr="00F619AB" w:rsidRDefault="00F619AB" w:rsidP="00F619AB">
      <w:pPr>
        <w:rPr>
          <w:b/>
          <w:rtl/>
          <w:lang w:eastAsia="he-IL"/>
        </w:rPr>
      </w:pPr>
      <w:r>
        <w:rPr>
          <w:rFonts w:hint="cs"/>
          <w:b/>
          <w:rtl/>
          <w:lang w:eastAsia="he-IL"/>
        </w:rPr>
        <w:t>(</w:t>
      </w:r>
      <w:r w:rsidRPr="00F619AB">
        <w:rPr>
          <w:rFonts w:hint="cs"/>
          <w:b/>
          <w:rtl/>
          <w:lang w:eastAsia="he-IL"/>
        </w:rPr>
        <w:t>המבוא</w:t>
      </w:r>
      <w:r>
        <w:rPr>
          <w:rFonts w:hint="cs"/>
          <w:b/>
          <w:rtl/>
          <w:lang w:eastAsia="he-IL"/>
        </w:rPr>
        <w:t xml:space="preserve"> </w:t>
      </w:r>
      <w:r w:rsidRPr="00F619AB">
        <w:rPr>
          <w:rFonts w:hint="cs"/>
          <w:b/>
          <w:rtl/>
          <w:lang w:eastAsia="he-IL"/>
        </w:rPr>
        <w:t>של ה</w:t>
      </w:r>
      <w:r>
        <w:rPr>
          <w:rFonts w:hint="cs"/>
          <w:b/>
          <w:rtl/>
          <w:lang w:eastAsia="he-IL"/>
        </w:rPr>
        <w:t xml:space="preserve">רב </w:t>
      </w:r>
      <w:r w:rsidRPr="00F619AB">
        <w:rPr>
          <w:rFonts w:hint="cs"/>
          <w:b/>
          <w:rtl/>
          <w:lang w:eastAsia="he-IL"/>
        </w:rPr>
        <w:t>גולדשמידט לספר התרומות</w:t>
      </w:r>
      <w:r>
        <w:rPr>
          <w:rFonts w:hint="cs"/>
          <w:b/>
          <w:rtl/>
          <w:lang w:eastAsia="he-IL"/>
        </w:rPr>
        <w:t>)</w:t>
      </w:r>
    </w:p>
    <w:p w14:paraId="504B1B9C" w14:textId="77777777" w:rsidR="00F619AB" w:rsidRPr="00F619AB" w:rsidRDefault="00F619AB" w:rsidP="00F619AB">
      <w:pPr>
        <w:rPr>
          <w:b/>
          <w:rtl/>
          <w:lang w:eastAsia="he-IL"/>
        </w:rPr>
      </w:pPr>
    </w:p>
    <w:p w14:paraId="6C6F223C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rFonts w:hint="cs"/>
          <w:b/>
          <w:rtl/>
          <w:lang w:eastAsia="he-IL"/>
        </w:rPr>
        <w:t xml:space="preserve">4. </w:t>
      </w:r>
      <w:r w:rsidRPr="00F619AB">
        <w:rPr>
          <w:rFonts w:hint="cs"/>
          <w:bCs/>
          <w:rtl/>
          <w:lang w:eastAsia="he-IL"/>
        </w:rPr>
        <w:t xml:space="preserve">ספרות ההלכה בספרד הנוצרית במאה ה-13 יצירותיו של </w:t>
      </w:r>
      <w:proofErr w:type="spellStart"/>
      <w:r w:rsidRPr="00F619AB">
        <w:rPr>
          <w:rFonts w:hint="cs"/>
          <w:bCs/>
          <w:rtl/>
          <w:lang w:eastAsia="he-IL"/>
        </w:rPr>
        <w:t>הרשב"א</w:t>
      </w:r>
      <w:proofErr w:type="spellEnd"/>
      <w:r w:rsidRPr="00F619AB">
        <w:rPr>
          <w:rFonts w:hint="cs"/>
          <w:bCs/>
          <w:rtl/>
          <w:lang w:eastAsia="he-IL"/>
        </w:rPr>
        <w:t xml:space="preserve"> (תורת הבית ועוד)</w:t>
      </w:r>
      <w:r w:rsidRPr="00F619AB">
        <w:rPr>
          <w:rFonts w:hint="cs"/>
          <w:b/>
          <w:rtl/>
          <w:lang w:eastAsia="he-IL"/>
        </w:rPr>
        <w:t xml:space="preserve"> </w:t>
      </w:r>
    </w:p>
    <w:p w14:paraId="7E814D95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rFonts w:hint="cs"/>
          <w:b/>
          <w:rtl/>
          <w:lang w:eastAsia="he-IL"/>
        </w:rPr>
        <w:t xml:space="preserve">מנחם אלון, המשפט העברי, 1054-1058. </w:t>
      </w:r>
    </w:p>
    <w:p w14:paraId="418A3BA6" w14:textId="77777777" w:rsidR="00F619AB" w:rsidRPr="00F619AB" w:rsidRDefault="00F619AB" w:rsidP="00F619AB">
      <w:pPr>
        <w:rPr>
          <w:b/>
          <w:rtl/>
          <w:lang w:eastAsia="he-IL"/>
        </w:rPr>
      </w:pPr>
      <w:r>
        <w:rPr>
          <w:rFonts w:hint="cs"/>
          <w:b/>
          <w:rtl/>
          <w:lang w:eastAsia="he-IL"/>
        </w:rPr>
        <w:t>ה</w:t>
      </w:r>
      <w:r w:rsidRPr="00F619AB">
        <w:rPr>
          <w:rFonts w:hint="cs"/>
          <w:b/>
          <w:rtl/>
          <w:lang w:eastAsia="he-IL"/>
        </w:rPr>
        <w:t xml:space="preserve">מבוא של הרב </w:t>
      </w:r>
      <w:proofErr w:type="spellStart"/>
      <w:r w:rsidRPr="00F619AB">
        <w:rPr>
          <w:rFonts w:hint="cs"/>
          <w:b/>
          <w:rtl/>
          <w:lang w:eastAsia="he-IL"/>
        </w:rPr>
        <w:t>צמבליסט</w:t>
      </w:r>
      <w:proofErr w:type="spellEnd"/>
      <w:r w:rsidRPr="00F619AB">
        <w:rPr>
          <w:rFonts w:hint="cs"/>
          <w:b/>
          <w:rtl/>
          <w:lang w:eastAsia="he-IL"/>
        </w:rPr>
        <w:t xml:space="preserve"> למהדורתו של תורת הבית</w:t>
      </w:r>
      <w:r>
        <w:rPr>
          <w:rFonts w:hint="cs"/>
          <w:b/>
          <w:rtl/>
          <w:lang w:eastAsia="he-IL"/>
        </w:rPr>
        <w:t>)</w:t>
      </w:r>
    </w:p>
    <w:p w14:paraId="6F1F2625" w14:textId="77777777" w:rsidR="00F619AB" w:rsidRPr="00F619AB" w:rsidRDefault="00F619AB" w:rsidP="00F619AB">
      <w:pPr>
        <w:rPr>
          <w:b/>
          <w:rtl/>
          <w:lang w:eastAsia="he-IL"/>
        </w:rPr>
      </w:pPr>
    </w:p>
    <w:p w14:paraId="1907474A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rFonts w:hint="cs"/>
          <w:b/>
          <w:rtl/>
          <w:lang w:eastAsia="he-IL"/>
        </w:rPr>
        <w:t>5.</w:t>
      </w:r>
      <w:r w:rsidRPr="00F619AB">
        <w:rPr>
          <w:b/>
          <w:rtl/>
          <w:lang w:eastAsia="he-IL"/>
        </w:rPr>
        <w:t xml:space="preserve"> </w:t>
      </w:r>
      <w:r w:rsidRPr="00F619AB">
        <w:rPr>
          <w:bCs/>
          <w:rtl/>
          <w:lang w:eastAsia="he-IL"/>
        </w:rPr>
        <w:t>הפריחה</w:t>
      </w:r>
      <w:r w:rsidRPr="00F619AB">
        <w:rPr>
          <w:bCs/>
        </w:rPr>
        <w:t xml:space="preserve"> </w:t>
      </w:r>
      <w:r w:rsidRPr="00F619AB">
        <w:rPr>
          <w:bCs/>
          <w:rtl/>
          <w:lang w:eastAsia="he-IL"/>
        </w:rPr>
        <w:t>בספרות</w:t>
      </w:r>
      <w:r w:rsidRPr="00F619AB">
        <w:rPr>
          <w:bCs/>
        </w:rPr>
        <w:t xml:space="preserve"> </w:t>
      </w:r>
      <w:r w:rsidRPr="00F619AB">
        <w:rPr>
          <w:bCs/>
          <w:rtl/>
          <w:lang w:eastAsia="he-IL"/>
        </w:rPr>
        <w:t>ההלכתית</w:t>
      </w:r>
      <w:r w:rsidRPr="00F619AB">
        <w:rPr>
          <w:bCs/>
        </w:rPr>
        <w:t xml:space="preserve"> </w:t>
      </w:r>
      <w:r w:rsidRPr="00F619AB">
        <w:rPr>
          <w:bCs/>
          <w:rtl/>
          <w:lang w:eastAsia="he-IL"/>
        </w:rPr>
        <w:t>במאה</w:t>
      </w:r>
      <w:r w:rsidRPr="00F619AB">
        <w:rPr>
          <w:bCs/>
        </w:rPr>
        <w:t xml:space="preserve"> </w:t>
      </w:r>
      <w:r w:rsidRPr="00F619AB">
        <w:rPr>
          <w:bCs/>
          <w:rtl/>
          <w:lang w:eastAsia="he-IL"/>
        </w:rPr>
        <w:t>ה14- בארגון ובקסטיליה וסוגי הספרים שנכתבו</w:t>
      </w:r>
    </w:p>
    <w:p w14:paraId="4746A073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 xml:space="preserve">מקורות: מ', אלון, המשפט העברי, ירושלים תשל"ג, עמ' 1086-1023.  </w:t>
      </w:r>
    </w:p>
    <w:p w14:paraId="7B8628F3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 xml:space="preserve">י"ד </w:t>
      </w:r>
      <w:proofErr w:type="spellStart"/>
      <w:r w:rsidRPr="00F619AB">
        <w:rPr>
          <w:b/>
          <w:rtl/>
          <w:lang w:eastAsia="he-IL"/>
        </w:rPr>
        <w:t>גלינסקי</w:t>
      </w:r>
      <w:proofErr w:type="spellEnd"/>
      <w:r w:rsidRPr="00F619AB">
        <w:rPr>
          <w:b/>
          <w:rtl/>
          <w:lang w:eastAsia="he-IL"/>
        </w:rPr>
        <w:t>, "ארבעה טורים והספרות ההלכתית של ספרד במאה ה14-", אוניברסיטת בר אילן תשנ"ט, עמ' 95-85</w:t>
      </w:r>
    </w:p>
    <w:p w14:paraId="64DDF5ED" w14:textId="77777777" w:rsidR="00F619AB" w:rsidRDefault="00F619AB" w:rsidP="00F619AB">
      <w:pPr>
        <w:rPr>
          <w:bCs/>
          <w:rtl/>
        </w:rPr>
      </w:pPr>
      <w:r w:rsidRPr="00F619AB">
        <w:rPr>
          <w:bCs/>
        </w:rPr>
        <w:t>C. Horowitz, The Jewish Sermon in 14th Century Spain, Cambridge Mass 1989, pp. 11-14</w:t>
      </w:r>
      <w:r w:rsidR="00E22FF4">
        <w:rPr>
          <w:bCs/>
        </w:rPr>
        <w:t>)</w:t>
      </w:r>
      <w:r>
        <w:rPr>
          <w:rFonts w:hint="cs"/>
          <w:bCs/>
          <w:rtl/>
        </w:rPr>
        <w:t>)</w:t>
      </w:r>
    </w:p>
    <w:p w14:paraId="3230647C" w14:textId="77777777" w:rsidR="00F619AB" w:rsidRPr="00F619AB" w:rsidRDefault="00F619AB" w:rsidP="00F619AB">
      <w:pPr>
        <w:rPr>
          <w:bCs/>
        </w:rPr>
      </w:pPr>
    </w:p>
    <w:p w14:paraId="058BA54B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rFonts w:hint="cs"/>
          <w:b/>
          <w:rtl/>
          <w:lang w:eastAsia="he-IL"/>
        </w:rPr>
        <w:t>6</w:t>
      </w:r>
      <w:r w:rsidRPr="00F619AB">
        <w:rPr>
          <w:b/>
          <w:rtl/>
          <w:lang w:eastAsia="he-IL"/>
        </w:rPr>
        <w:t xml:space="preserve">. </w:t>
      </w:r>
      <w:r w:rsidRPr="00F619AB">
        <w:rPr>
          <w:bCs/>
          <w:rtl/>
          <w:lang w:eastAsia="he-IL"/>
        </w:rPr>
        <w:t>מהגרים שהתיישבו בספרד מאשכנז וצרפת – ההגירה מאשכנז ומצרפת</w:t>
      </w:r>
    </w:p>
    <w:p w14:paraId="5950E338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 xml:space="preserve">מקורות: הקדמת ר' אהרן הכהן לספר </w:t>
      </w:r>
      <w:proofErr w:type="spellStart"/>
      <w:r w:rsidRPr="00F619AB">
        <w:rPr>
          <w:b/>
          <w:rtl/>
          <w:lang w:eastAsia="he-IL"/>
        </w:rPr>
        <w:t>ארחות</w:t>
      </w:r>
      <w:proofErr w:type="spellEnd"/>
      <w:r w:rsidRPr="00F619AB">
        <w:rPr>
          <w:b/>
          <w:rtl/>
          <w:lang w:eastAsia="he-IL"/>
        </w:rPr>
        <w:t xml:space="preserve"> חיים</w:t>
      </w:r>
    </w:p>
    <w:p w14:paraId="0F29C54C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ab/>
        <w:t>הקדמת ר' ירוחם לספר מישרים</w:t>
      </w:r>
    </w:p>
    <w:p w14:paraId="5082A1F1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ab/>
        <w:t>הקדמת ר' מנחם בן זרח לספרו צדה לדרך</w:t>
      </w:r>
    </w:p>
    <w:p w14:paraId="3E8B7045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lastRenderedPageBreak/>
        <w:tab/>
        <w:t xml:space="preserve">דברי ר' יהודה בן </w:t>
      </w:r>
      <w:proofErr w:type="spellStart"/>
      <w:r w:rsidRPr="00F619AB">
        <w:rPr>
          <w:b/>
          <w:rtl/>
          <w:lang w:eastAsia="he-IL"/>
        </w:rPr>
        <w:t>הרא"ש</w:t>
      </w:r>
      <w:proofErr w:type="spellEnd"/>
      <w:r w:rsidRPr="00F619AB">
        <w:rPr>
          <w:b/>
          <w:rtl/>
          <w:lang w:eastAsia="he-IL"/>
        </w:rPr>
        <w:t xml:space="preserve"> בצוואתו</w:t>
      </w:r>
    </w:p>
    <w:p w14:paraId="065ED91E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>יו"ט עסיס,  "יהודי ארגוניה בימי שלטונו של יעקב השני", האוניברסיטה העברית תשמ"א, עמ' 610-585.</w:t>
      </w:r>
    </w:p>
    <w:p w14:paraId="7FBC0366" w14:textId="77777777" w:rsidR="00F619AB" w:rsidRPr="00F619AB" w:rsidRDefault="00F619AB" w:rsidP="00F619AB">
      <w:pPr>
        <w:rPr>
          <w:b/>
          <w:rtl/>
          <w:lang w:eastAsia="he-IL"/>
        </w:rPr>
      </w:pPr>
      <w:r>
        <w:rPr>
          <w:rFonts w:hint="cs"/>
          <w:b/>
          <w:rtl/>
          <w:lang w:eastAsia="he-IL"/>
        </w:rPr>
        <w:t>(</w:t>
      </w:r>
      <w:proofErr w:type="spellStart"/>
      <w:r w:rsidRPr="00F619AB">
        <w:rPr>
          <w:b/>
          <w:rtl/>
          <w:lang w:eastAsia="he-IL"/>
        </w:rPr>
        <w:t>י"מ</w:t>
      </w:r>
      <w:proofErr w:type="spellEnd"/>
      <w:r w:rsidRPr="00F619AB">
        <w:rPr>
          <w:b/>
          <w:rtl/>
          <w:lang w:eastAsia="he-IL"/>
        </w:rPr>
        <w:t xml:space="preserve"> תא-שמע, הספרות הפרשנית לתלמוד באירופה ובצפון אפריקה 1200-1400 כרך ב, עמ' 79-78</w:t>
      </w:r>
      <w:r>
        <w:rPr>
          <w:rFonts w:hint="cs"/>
          <w:b/>
          <w:rtl/>
          <w:lang w:eastAsia="he-IL"/>
        </w:rPr>
        <w:t>)</w:t>
      </w:r>
      <w:r w:rsidRPr="00F619AB">
        <w:rPr>
          <w:b/>
          <w:rtl/>
          <w:lang w:eastAsia="he-IL"/>
        </w:rPr>
        <w:t>.</w:t>
      </w:r>
    </w:p>
    <w:p w14:paraId="6ADB6666" w14:textId="77777777" w:rsidR="00F619AB" w:rsidRPr="00F619AB" w:rsidRDefault="00F619AB" w:rsidP="00F619AB">
      <w:pPr>
        <w:rPr>
          <w:b/>
          <w:rtl/>
          <w:lang w:eastAsia="he-IL"/>
        </w:rPr>
      </w:pPr>
    </w:p>
    <w:p w14:paraId="7DF44B1D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rFonts w:hint="cs"/>
          <w:b/>
          <w:rtl/>
          <w:lang w:eastAsia="he-IL"/>
        </w:rPr>
        <w:t xml:space="preserve">7. </w:t>
      </w:r>
      <w:r w:rsidRPr="00F619AB">
        <w:rPr>
          <w:rFonts w:hint="cs"/>
          <w:bCs/>
          <w:rtl/>
          <w:lang w:eastAsia="he-IL"/>
        </w:rPr>
        <w:t xml:space="preserve">בואו והשפעתו של </w:t>
      </w:r>
      <w:proofErr w:type="spellStart"/>
      <w:r w:rsidRPr="00F619AB">
        <w:rPr>
          <w:rFonts w:hint="cs"/>
          <w:bCs/>
          <w:rtl/>
          <w:lang w:eastAsia="he-IL"/>
        </w:rPr>
        <w:t>הרא"ש</w:t>
      </w:r>
      <w:proofErr w:type="spellEnd"/>
      <w:r w:rsidRPr="00F619AB">
        <w:rPr>
          <w:rFonts w:hint="cs"/>
          <w:bCs/>
          <w:rtl/>
          <w:lang w:eastAsia="he-IL"/>
        </w:rPr>
        <w:t xml:space="preserve"> האשכנזי בספרד</w:t>
      </w:r>
      <w:r w:rsidRPr="00F619AB">
        <w:rPr>
          <w:rFonts w:hint="cs"/>
          <w:b/>
          <w:rtl/>
          <w:lang w:eastAsia="he-IL"/>
        </w:rPr>
        <w:t xml:space="preserve"> </w:t>
      </w:r>
    </w:p>
    <w:p w14:paraId="1FF2A5AD" w14:textId="77777777" w:rsidR="00F619AB" w:rsidRPr="00F619AB" w:rsidRDefault="00F619AB" w:rsidP="00F619AB">
      <w:pPr>
        <w:rPr>
          <w:b/>
        </w:rPr>
      </w:pPr>
      <w:r w:rsidRPr="00F619AB">
        <w:rPr>
          <w:rFonts w:hint="cs"/>
          <w:b/>
          <w:rtl/>
          <w:lang w:eastAsia="he-IL"/>
        </w:rPr>
        <w:t xml:space="preserve">י' </w:t>
      </w:r>
      <w:proofErr w:type="spellStart"/>
      <w:r w:rsidRPr="00F619AB">
        <w:rPr>
          <w:rFonts w:hint="cs"/>
          <w:b/>
          <w:rtl/>
          <w:lang w:eastAsia="he-IL"/>
        </w:rPr>
        <w:t>גלינסקי</w:t>
      </w:r>
      <w:proofErr w:type="spellEnd"/>
      <w:r w:rsidRPr="00F619AB">
        <w:rPr>
          <w:rFonts w:hint="cs"/>
          <w:b/>
          <w:rtl/>
          <w:lang w:eastAsia="he-IL"/>
        </w:rPr>
        <w:t xml:space="preserve">, </w:t>
      </w:r>
      <w:r w:rsidRPr="00F619AB">
        <w:rPr>
          <w:b/>
          <w:rtl/>
          <w:lang w:eastAsia="he-IL"/>
        </w:rPr>
        <w:t>"</w:t>
      </w:r>
      <w:proofErr w:type="spellStart"/>
      <w:r w:rsidRPr="00F619AB">
        <w:rPr>
          <w:b/>
          <w:rtl/>
          <w:lang w:eastAsia="he-IL"/>
        </w:rPr>
        <w:t>הרא"ש</w:t>
      </w:r>
      <w:proofErr w:type="spellEnd"/>
      <w:r w:rsidRPr="00F619AB">
        <w:rPr>
          <w:b/>
          <w:rtl/>
          <w:lang w:eastAsia="he-IL"/>
        </w:rPr>
        <w:t xml:space="preserve"> האשכנזי בספרד: "תוספות </w:t>
      </w:r>
      <w:proofErr w:type="spellStart"/>
      <w:r w:rsidRPr="00F619AB">
        <w:rPr>
          <w:b/>
          <w:rtl/>
          <w:lang w:eastAsia="he-IL"/>
        </w:rPr>
        <w:t>הרא"ש</w:t>
      </w:r>
      <w:proofErr w:type="spellEnd"/>
      <w:r w:rsidRPr="00F619AB">
        <w:rPr>
          <w:b/>
          <w:rtl/>
          <w:lang w:eastAsia="he-IL"/>
        </w:rPr>
        <w:t xml:space="preserve">", "פסקי </w:t>
      </w:r>
      <w:proofErr w:type="spellStart"/>
      <w:r w:rsidRPr="00F619AB">
        <w:rPr>
          <w:b/>
          <w:rtl/>
          <w:lang w:eastAsia="he-IL"/>
        </w:rPr>
        <w:t>הרא"ש</w:t>
      </w:r>
      <w:proofErr w:type="spellEnd"/>
      <w:r w:rsidRPr="00F619AB">
        <w:rPr>
          <w:b/>
          <w:rtl/>
          <w:lang w:eastAsia="he-IL"/>
        </w:rPr>
        <w:t xml:space="preserve">", ישיבת </w:t>
      </w:r>
      <w:proofErr w:type="spellStart"/>
      <w:r w:rsidRPr="00F619AB">
        <w:rPr>
          <w:b/>
          <w:rtl/>
          <w:lang w:eastAsia="he-IL"/>
        </w:rPr>
        <w:t>הרא"ש</w:t>
      </w:r>
      <w:proofErr w:type="spellEnd"/>
      <w:r w:rsidRPr="00F619AB">
        <w:rPr>
          <w:b/>
          <w:rtl/>
          <w:lang w:eastAsia="he-IL"/>
        </w:rPr>
        <w:t>", תרביץ, עד</w:t>
      </w:r>
      <w:r w:rsidRPr="00F619AB">
        <w:rPr>
          <w:rFonts w:hint="cs"/>
          <w:b/>
          <w:rtl/>
          <w:lang w:eastAsia="he-IL"/>
        </w:rPr>
        <w:t xml:space="preserve"> </w:t>
      </w:r>
      <w:r w:rsidRPr="00F619AB">
        <w:rPr>
          <w:b/>
          <w:rtl/>
          <w:lang w:eastAsia="he-IL"/>
        </w:rPr>
        <w:t>(תשס"ה), עמ' 389-421</w:t>
      </w:r>
    </w:p>
    <w:p w14:paraId="3ACAA75A" w14:textId="77777777" w:rsidR="00F619AB" w:rsidRPr="00F619AB" w:rsidRDefault="00F619AB" w:rsidP="00F619AB">
      <w:pPr>
        <w:rPr>
          <w:b/>
          <w:rtl/>
          <w:lang w:eastAsia="he-IL"/>
        </w:rPr>
      </w:pPr>
      <w:r>
        <w:rPr>
          <w:rFonts w:hint="cs"/>
          <w:b/>
          <w:rtl/>
          <w:lang w:eastAsia="he-IL"/>
        </w:rPr>
        <w:t>(</w:t>
      </w:r>
      <w:r w:rsidRPr="00F619AB">
        <w:rPr>
          <w:rFonts w:hint="cs"/>
          <w:b/>
          <w:rtl/>
          <w:lang w:eastAsia="he-IL"/>
        </w:rPr>
        <w:t xml:space="preserve">אלימלך </w:t>
      </w:r>
      <w:proofErr w:type="spellStart"/>
      <w:r w:rsidRPr="00F619AB">
        <w:rPr>
          <w:rFonts w:hint="cs"/>
          <w:b/>
          <w:rtl/>
          <w:lang w:eastAsia="he-IL"/>
        </w:rPr>
        <w:t>וסטרייך</w:t>
      </w:r>
      <w:proofErr w:type="spellEnd"/>
      <w:r w:rsidRPr="00F619AB">
        <w:rPr>
          <w:rFonts w:hint="cs"/>
          <w:b/>
          <w:rtl/>
          <w:lang w:eastAsia="he-IL"/>
        </w:rPr>
        <w:t>,</w:t>
      </w:r>
      <w:r w:rsidRPr="00F619AB">
        <w:rPr>
          <w:b/>
          <w:rtl/>
          <w:lang w:eastAsia="he-IL"/>
        </w:rPr>
        <w:t xml:space="preserve"> "הכרעות שיפוטיות של </w:t>
      </w:r>
      <w:proofErr w:type="spellStart"/>
      <w:r w:rsidRPr="00F619AB">
        <w:rPr>
          <w:b/>
          <w:rtl/>
          <w:lang w:eastAsia="he-IL"/>
        </w:rPr>
        <w:t>הרא"ש</w:t>
      </w:r>
      <w:proofErr w:type="spellEnd"/>
      <w:r w:rsidRPr="00F619AB">
        <w:rPr>
          <w:b/>
          <w:rtl/>
          <w:lang w:eastAsia="he-IL"/>
        </w:rPr>
        <w:t xml:space="preserve"> בספרד", מחקרים בהלכה ובמחשבת ישראל, מוגשים לכבוד הרב פרופ' מנחם עמנואל רקמן בהגיעו לגבורות, בעריכת מ' בר, ירושלים תשנ"ד,  עמ' 182-157.</w:t>
      </w:r>
      <w:r>
        <w:rPr>
          <w:rFonts w:hint="cs"/>
          <w:b/>
          <w:rtl/>
          <w:lang w:eastAsia="he-IL"/>
        </w:rPr>
        <w:t>)</w:t>
      </w:r>
    </w:p>
    <w:p w14:paraId="0B8308CE" w14:textId="77777777" w:rsidR="00F619AB" w:rsidRPr="00F619AB" w:rsidRDefault="00F619AB" w:rsidP="00F619AB">
      <w:pPr>
        <w:rPr>
          <w:b/>
          <w:rtl/>
          <w:lang w:eastAsia="he-IL"/>
        </w:rPr>
      </w:pPr>
      <w:r>
        <w:rPr>
          <w:rFonts w:hint="cs"/>
          <w:b/>
          <w:rtl/>
          <w:lang w:eastAsia="he-IL"/>
        </w:rPr>
        <w:t>(</w:t>
      </w:r>
      <w:r w:rsidRPr="00F619AB">
        <w:rPr>
          <w:rFonts w:hint="cs"/>
          <w:b/>
          <w:rtl/>
          <w:lang w:eastAsia="he-IL"/>
        </w:rPr>
        <w:t>תהילה אליצור, "</w:t>
      </w:r>
      <w:r w:rsidRPr="00F619AB">
        <w:rPr>
          <w:b/>
        </w:rPr>
        <w:t> </w:t>
      </w:r>
      <w:r w:rsidRPr="00F619AB">
        <w:rPr>
          <w:b/>
          <w:rtl/>
          <w:lang w:eastAsia="he-IL"/>
        </w:rPr>
        <w:t xml:space="preserve">תשובות </w:t>
      </w:r>
      <w:proofErr w:type="spellStart"/>
      <w:r w:rsidRPr="00F619AB">
        <w:rPr>
          <w:b/>
          <w:rtl/>
          <w:lang w:eastAsia="he-IL"/>
        </w:rPr>
        <w:t>הרא"ש</w:t>
      </w:r>
      <w:proofErr w:type="spellEnd"/>
      <w:r w:rsidRPr="00F619AB">
        <w:rPr>
          <w:b/>
          <w:rtl/>
          <w:lang w:eastAsia="he-IL"/>
        </w:rPr>
        <w:t xml:space="preserve"> בדיני נזיקין: הגות הלכתית ומתודולוגיה של פסיקה</w:t>
      </w:r>
      <w:r w:rsidRPr="00F619AB">
        <w:rPr>
          <w:rFonts w:hint="cs"/>
          <w:b/>
          <w:rtl/>
          <w:lang w:eastAsia="he-IL"/>
        </w:rPr>
        <w:t xml:space="preserve">", </w:t>
      </w:r>
      <w:r w:rsidRPr="00F619AB">
        <w:rPr>
          <w:b/>
          <w:rtl/>
          <w:lang w:eastAsia="he-IL"/>
        </w:rPr>
        <w:t> באר שבע תשס"ט</w:t>
      </w:r>
      <w:r>
        <w:rPr>
          <w:rFonts w:hint="cs"/>
          <w:b/>
          <w:rtl/>
          <w:lang w:eastAsia="he-IL"/>
        </w:rPr>
        <w:t>)</w:t>
      </w:r>
    </w:p>
    <w:p w14:paraId="3CF589E6" w14:textId="77777777" w:rsidR="00F619AB" w:rsidRPr="00F619AB" w:rsidRDefault="00F619AB" w:rsidP="00F619AB">
      <w:pPr>
        <w:rPr>
          <w:b/>
          <w:rtl/>
          <w:lang w:eastAsia="he-IL"/>
        </w:rPr>
      </w:pPr>
    </w:p>
    <w:p w14:paraId="32B805D6" w14:textId="77777777" w:rsidR="00F619AB" w:rsidRPr="00F619AB" w:rsidRDefault="00F619AB" w:rsidP="00F619AB">
      <w:pPr>
        <w:rPr>
          <w:bCs/>
          <w:rtl/>
          <w:lang w:eastAsia="he-IL"/>
        </w:rPr>
      </w:pPr>
      <w:r w:rsidRPr="00F619AB">
        <w:rPr>
          <w:rFonts w:hint="cs"/>
          <w:b/>
          <w:rtl/>
          <w:lang w:eastAsia="he-IL"/>
        </w:rPr>
        <w:t>8</w:t>
      </w:r>
      <w:r w:rsidRPr="00F619AB">
        <w:rPr>
          <w:rFonts w:hint="cs"/>
          <w:bCs/>
          <w:rtl/>
          <w:lang w:eastAsia="he-IL"/>
        </w:rPr>
        <w:t xml:space="preserve">. השפעת בני </w:t>
      </w:r>
      <w:proofErr w:type="spellStart"/>
      <w:r w:rsidRPr="00F619AB">
        <w:rPr>
          <w:rFonts w:hint="cs"/>
          <w:bCs/>
          <w:rtl/>
          <w:lang w:eastAsia="he-IL"/>
        </w:rPr>
        <w:t>הרא"ש</w:t>
      </w:r>
      <w:proofErr w:type="spellEnd"/>
      <w:r w:rsidRPr="00F619AB">
        <w:rPr>
          <w:rFonts w:hint="cs"/>
          <w:bCs/>
          <w:rtl/>
          <w:lang w:eastAsia="he-IL"/>
        </w:rPr>
        <w:t xml:space="preserve"> ותלמידיו </w:t>
      </w:r>
    </w:p>
    <w:p w14:paraId="58C4AEF1" w14:textId="77777777" w:rsidR="00F619AB" w:rsidRPr="00F619AB" w:rsidRDefault="00F619AB" w:rsidP="00F619AB">
      <w:pPr>
        <w:rPr>
          <w:b/>
          <w:rtl/>
          <w:lang w:eastAsia="he-IL"/>
        </w:rPr>
      </w:pPr>
      <w:proofErr w:type="spellStart"/>
      <w:r w:rsidRPr="00F619AB">
        <w:rPr>
          <w:b/>
          <w:rtl/>
          <w:lang w:eastAsia="he-IL"/>
        </w:rPr>
        <w:t>יהודא</w:t>
      </w:r>
      <w:proofErr w:type="spellEnd"/>
      <w:r w:rsidRPr="00F619AB">
        <w:rPr>
          <w:b/>
          <w:rtl/>
          <w:lang w:eastAsia="he-IL"/>
        </w:rPr>
        <w:t xml:space="preserve"> דב </w:t>
      </w:r>
      <w:proofErr w:type="spellStart"/>
      <w:r w:rsidRPr="00F619AB">
        <w:rPr>
          <w:b/>
          <w:rtl/>
          <w:lang w:eastAsia="he-IL"/>
        </w:rPr>
        <w:t>גלינסקי</w:t>
      </w:r>
      <w:proofErr w:type="spellEnd"/>
      <w:r w:rsidRPr="00F619AB">
        <w:rPr>
          <w:b/>
          <w:rtl/>
          <w:lang w:eastAsia="he-IL"/>
        </w:rPr>
        <w:t xml:space="preserve">, על מורשתו של ר' יהודה בן </w:t>
      </w:r>
      <w:proofErr w:type="spellStart"/>
      <w:r w:rsidRPr="00F619AB">
        <w:rPr>
          <w:b/>
          <w:rtl/>
          <w:lang w:eastAsia="he-IL"/>
        </w:rPr>
        <w:t>הרא"ש</w:t>
      </w:r>
      <w:proofErr w:type="spellEnd"/>
      <w:r w:rsidRPr="00F619AB">
        <w:rPr>
          <w:b/>
          <w:rtl/>
          <w:lang w:eastAsia="he-IL"/>
        </w:rPr>
        <w:t xml:space="preserve"> רבה של טולדו: פרק בחקר ספרות </w:t>
      </w:r>
      <w:proofErr w:type="spellStart"/>
      <w:r w:rsidRPr="00F619AB">
        <w:rPr>
          <w:b/>
          <w:rtl/>
          <w:lang w:eastAsia="he-IL"/>
        </w:rPr>
        <w:t>השו"ת</w:t>
      </w:r>
      <w:proofErr w:type="spellEnd"/>
      <w:r w:rsidRPr="00F619AB">
        <w:rPr>
          <w:b/>
          <w:rtl/>
          <w:lang w:eastAsia="he-IL"/>
        </w:rPr>
        <w:t xml:space="preserve"> של חכמי ספרד הנוצרית, פעמים 128 </w:t>
      </w:r>
      <w:r w:rsidRPr="00F619AB">
        <w:rPr>
          <w:rFonts w:hint="cs"/>
          <w:b/>
          <w:rtl/>
          <w:lang w:eastAsia="he-IL"/>
        </w:rPr>
        <w:t>(</w:t>
      </w:r>
      <w:r w:rsidRPr="00F619AB">
        <w:rPr>
          <w:b/>
          <w:rtl/>
          <w:lang w:eastAsia="he-IL"/>
        </w:rPr>
        <w:t>2011</w:t>
      </w:r>
      <w:r w:rsidRPr="00F619AB">
        <w:rPr>
          <w:rFonts w:hint="cs"/>
          <w:b/>
          <w:rtl/>
          <w:lang w:eastAsia="he-IL"/>
        </w:rPr>
        <w:t xml:space="preserve">), עמ' 175-210. </w:t>
      </w:r>
    </w:p>
    <w:p w14:paraId="0C784957" w14:textId="77777777" w:rsidR="00F619AB" w:rsidRPr="00F619AB" w:rsidRDefault="00F619AB" w:rsidP="00F619AB">
      <w:pPr>
        <w:rPr>
          <w:b/>
          <w:rtl/>
          <w:lang w:eastAsia="he-IL"/>
        </w:rPr>
      </w:pPr>
    </w:p>
    <w:p w14:paraId="7DA256C2" w14:textId="77777777" w:rsidR="00F619AB" w:rsidRPr="00F619AB" w:rsidRDefault="00F619AB" w:rsidP="00F619AB">
      <w:pPr>
        <w:rPr>
          <w:bCs/>
          <w:rtl/>
          <w:lang w:eastAsia="he-IL"/>
        </w:rPr>
      </w:pPr>
      <w:r w:rsidRPr="00F619AB">
        <w:rPr>
          <w:rFonts w:hint="cs"/>
          <w:b/>
          <w:rtl/>
          <w:lang w:eastAsia="he-IL"/>
        </w:rPr>
        <w:t>9</w:t>
      </w:r>
      <w:r w:rsidRPr="00F619AB">
        <w:rPr>
          <w:b/>
          <w:rtl/>
          <w:lang w:eastAsia="he-IL"/>
        </w:rPr>
        <w:t xml:space="preserve">. </w:t>
      </w:r>
      <w:r w:rsidRPr="00F619AB">
        <w:rPr>
          <w:bCs/>
          <w:rtl/>
          <w:lang w:eastAsia="he-IL"/>
        </w:rPr>
        <w:t xml:space="preserve">השפעת המפעלים התחיקתיים של מלכי ספרד על כתיבת ספרים לדיינים   </w:t>
      </w:r>
    </w:p>
    <w:p w14:paraId="57E74D9B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 xml:space="preserve">מקורות: תשובות </w:t>
      </w:r>
      <w:proofErr w:type="spellStart"/>
      <w:r w:rsidRPr="00F619AB">
        <w:rPr>
          <w:b/>
          <w:rtl/>
          <w:lang w:eastAsia="he-IL"/>
        </w:rPr>
        <w:t>זכרון</w:t>
      </w:r>
      <w:proofErr w:type="spellEnd"/>
      <w:r w:rsidRPr="00F619AB">
        <w:rPr>
          <w:b/>
          <w:rtl/>
          <w:lang w:eastAsia="he-IL"/>
        </w:rPr>
        <w:t xml:space="preserve"> יהודה סימן נד</w:t>
      </w:r>
    </w:p>
    <w:p w14:paraId="5F991A55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ab/>
        <w:t>הקדמת ר' משולם לספר מישרים</w:t>
      </w:r>
    </w:p>
    <w:p w14:paraId="0F9425B8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ab/>
        <w:t>הקדמת ר' יעקב בן הראש לחושן משפט</w:t>
      </w:r>
    </w:p>
    <w:p w14:paraId="4177BA77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 xml:space="preserve">א"א אורבך, "מדרכי הקודיפיקציה - על ספר הטורים </w:t>
      </w:r>
      <w:proofErr w:type="spellStart"/>
      <w:r w:rsidRPr="00F619AB">
        <w:rPr>
          <w:b/>
          <w:rtl/>
          <w:lang w:eastAsia="he-IL"/>
        </w:rPr>
        <w:t>לר</w:t>
      </w:r>
      <w:proofErr w:type="spellEnd"/>
      <w:r w:rsidRPr="00F619AB">
        <w:rPr>
          <w:b/>
          <w:rtl/>
          <w:lang w:eastAsia="he-IL"/>
        </w:rPr>
        <w:t xml:space="preserve">' יעקב ברבי אשר", ספר היובל של </w:t>
      </w:r>
      <w:r w:rsidRPr="00F619AB">
        <w:rPr>
          <w:bCs/>
        </w:rPr>
        <w:t>PAAJR</w:t>
      </w:r>
      <w:r w:rsidRPr="00F619AB">
        <w:rPr>
          <w:b/>
          <w:rtl/>
          <w:lang w:eastAsia="he-IL"/>
        </w:rPr>
        <w:t xml:space="preserve"> (חלק עברי), ירושלים תש"מ,  עמ' 14-1.</w:t>
      </w:r>
    </w:p>
    <w:p w14:paraId="29395108" w14:textId="77777777" w:rsidR="00F619AB" w:rsidRPr="00F619AB" w:rsidRDefault="00F619AB" w:rsidP="00F619AB">
      <w:pPr>
        <w:rPr>
          <w:b/>
          <w:rtl/>
          <w:lang w:eastAsia="he-IL"/>
        </w:rPr>
      </w:pPr>
      <w:r>
        <w:rPr>
          <w:b/>
        </w:rPr>
        <w:t>(</w:t>
      </w:r>
      <w:r w:rsidRPr="00F619AB">
        <w:rPr>
          <w:b/>
        </w:rPr>
        <w:t xml:space="preserve">J.R. Craddock, “The Legislative Works of Alfonso el </w:t>
      </w:r>
      <w:proofErr w:type="spellStart"/>
      <w:r w:rsidRPr="00F619AB">
        <w:rPr>
          <w:b/>
        </w:rPr>
        <w:t>Sabio</w:t>
      </w:r>
      <w:proofErr w:type="spellEnd"/>
      <w:r w:rsidRPr="00F619AB">
        <w:rPr>
          <w:b/>
        </w:rPr>
        <w:t>,” Emperor of Culture, Alfonso X the Learned of Castile and His Thirteenth Century Renaissance, ed. R.I. Burns, Philadelphia 1990, pp.182-260</w:t>
      </w:r>
      <w:r>
        <w:rPr>
          <w:b/>
        </w:rPr>
        <w:t>)</w:t>
      </w:r>
    </w:p>
    <w:p w14:paraId="16E665AB" w14:textId="77777777" w:rsidR="00F619AB" w:rsidRPr="00F619AB" w:rsidRDefault="00F619AB" w:rsidP="00F619AB">
      <w:pPr>
        <w:rPr>
          <w:b/>
          <w:rtl/>
          <w:lang w:eastAsia="he-IL"/>
        </w:rPr>
      </w:pPr>
    </w:p>
    <w:p w14:paraId="1FD708B8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rFonts w:hint="cs"/>
          <w:b/>
          <w:rtl/>
          <w:lang w:eastAsia="he-IL"/>
        </w:rPr>
        <w:t>10</w:t>
      </w:r>
      <w:r w:rsidRPr="00F619AB">
        <w:rPr>
          <w:b/>
          <w:rtl/>
          <w:lang w:eastAsia="he-IL"/>
        </w:rPr>
        <w:t xml:space="preserve">. </w:t>
      </w:r>
      <w:r w:rsidRPr="00F619AB">
        <w:rPr>
          <w:rFonts w:hint="cs"/>
          <w:bCs/>
          <w:rtl/>
          <w:lang w:eastAsia="he-IL"/>
        </w:rPr>
        <w:t xml:space="preserve">הספר צדה לדרך </w:t>
      </w:r>
      <w:proofErr w:type="spellStart"/>
      <w:r w:rsidRPr="00F619AB">
        <w:rPr>
          <w:rFonts w:hint="cs"/>
          <w:bCs/>
          <w:rtl/>
          <w:lang w:eastAsia="he-IL"/>
        </w:rPr>
        <w:t>לר</w:t>
      </w:r>
      <w:proofErr w:type="spellEnd"/>
      <w:r w:rsidRPr="00F619AB">
        <w:rPr>
          <w:rFonts w:hint="cs"/>
          <w:bCs/>
          <w:rtl/>
          <w:lang w:eastAsia="he-IL"/>
        </w:rPr>
        <w:t xml:space="preserve">' מנחם אבן זרח </w:t>
      </w:r>
      <w:r w:rsidRPr="00F619AB">
        <w:rPr>
          <w:bCs/>
          <w:rtl/>
          <w:lang w:eastAsia="he-IL"/>
        </w:rPr>
        <w:t>התעוררות דתית בקרב הצבור הרחב</w:t>
      </w:r>
      <w:r w:rsidRPr="00F619AB">
        <w:rPr>
          <w:b/>
          <w:rtl/>
          <w:lang w:eastAsia="he-IL"/>
        </w:rPr>
        <w:t xml:space="preserve"> </w:t>
      </w:r>
    </w:p>
    <w:p w14:paraId="17764C25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 xml:space="preserve">מקורות: </w:t>
      </w:r>
      <w:r w:rsidRPr="00F619AB">
        <w:rPr>
          <w:rFonts w:hint="cs"/>
          <w:b/>
          <w:rtl/>
          <w:lang w:eastAsia="he-IL"/>
        </w:rPr>
        <w:t xml:space="preserve">הקדמת ר' מנחם אבן זרח לצדה לדרך </w:t>
      </w:r>
    </w:p>
    <w:p w14:paraId="3053DDFE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>הקדמת ר' ישראל אל נקווה לספרו מנורת המאור</w:t>
      </w:r>
    </w:p>
    <w:p w14:paraId="1C7815BE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>הקדמת ר' ישראל ישראלי לספר מצוות זמניות והקדמת המתרגם</w:t>
      </w:r>
    </w:p>
    <w:p w14:paraId="45E6E3E7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rFonts w:hint="cs"/>
          <w:b/>
          <w:rtl/>
          <w:lang w:eastAsia="he-IL"/>
        </w:rPr>
        <w:t xml:space="preserve">הקדמת ר' דוד </w:t>
      </w:r>
      <w:proofErr w:type="spellStart"/>
      <w:r w:rsidRPr="00F619AB">
        <w:rPr>
          <w:rFonts w:hint="cs"/>
          <w:b/>
          <w:rtl/>
          <w:lang w:eastAsia="he-IL"/>
        </w:rPr>
        <w:t>אבודרהם</w:t>
      </w:r>
      <w:proofErr w:type="spellEnd"/>
      <w:r w:rsidRPr="00F619AB">
        <w:rPr>
          <w:rFonts w:hint="cs"/>
          <w:b/>
          <w:rtl/>
          <w:lang w:eastAsia="he-IL"/>
        </w:rPr>
        <w:t xml:space="preserve"> לספרו </w:t>
      </w:r>
    </w:p>
    <w:p w14:paraId="45C1F281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>הקדמת ר' שמואל בן צדוק אבן שושן לספרו עץ חיים (כ"י)</w:t>
      </w:r>
    </w:p>
    <w:p w14:paraId="3C8113AF" w14:textId="77777777" w:rsidR="00F619AB" w:rsidRPr="00F619AB" w:rsidRDefault="00F619AB" w:rsidP="00F619AB">
      <w:pPr>
        <w:rPr>
          <w:b/>
        </w:rPr>
      </w:pPr>
      <w:r w:rsidRPr="00F619AB">
        <w:rPr>
          <w:b/>
          <w:rtl/>
          <w:lang w:eastAsia="he-IL"/>
        </w:rPr>
        <w:t>הקדמת המחבר ר' שמואל אבן &lt;..&gt; לספרו "המאסף" (כ"י)</w:t>
      </w:r>
    </w:p>
    <w:p w14:paraId="3EDCEBBA" w14:textId="77777777" w:rsidR="00F619AB" w:rsidRPr="00F619AB" w:rsidRDefault="00F619AB" w:rsidP="00F619AB">
      <w:pPr>
        <w:rPr>
          <w:b/>
          <w:rtl/>
          <w:lang w:eastAsia="he-IL"/>
        </w:rPr>
      </w:pPr>
      <w:proofErr w:type="spellStart"/>
      <w:r w:rsidRPr="00F619AB">
        <w:rPr>
          <w:b/>
          <w:rtl/>
          <w:lang w:eastAsia="he-IL"/>
        </w:rPr>
        <w:t>אידלברג</w:t>
      </w:r>
      <w:proofErr w:type="spellEnd"/>
      <w:r w:rsidRPr="00F619AB">
        <w:rPr>
          <w:b/>
          <w:rtl/>
          <w:lang w:eastAsia="he-IL"/>
        </w:rPr>
        <w:t xml:space="preserve"> ש', "הספר 'צדה לדרך' ומחברו ר' מנחם בן הקדוש ר' אהרון בן זרח", דברי הקונגרס העולמי השישי למדעי היהדות ג (תשל"ג), עמ' 30-15. </w:t>
      </w:r>
    </w:p>
    <w:p w14:paraId="3C4C1F87" w14:textId="77777777" w:rsidR="00F619AB" w:rsidRPr="00F619AB" w:rsidRDefault="00F619AB" w:rsidP="00F619AB">
      <w:pPr>
        <w:rPr>
          <w:b/>
          <w:rtl/>
          <w:lang w:eastAsia="he-IL"/>
        </w:rPr>
      </w:pPr>
      <w:r>
        <w:rPr>
          <w:rFonts w:hint="cs"/>
          <w:b/>
          <w:rtl/>
          <w:lang w:eastAsia="he-IL"/>
        </w:rPr>
        <w:t>(</w:t>
      </w:r>
      <w:proofErr w:type="spellStart"/>
      <w:r w:rsidRPr="00F619AB">
        <w:rPr>
          <w:b/>
          <w:rtl/>
          <w:lang w:eastAsia="he-IL"/>
        </w:rPr>
        <w:t>י"מ</w:t>
      </w:r>
      <w:proofErr w:type="spellEnd"/>
      <w:r w:rsidRPr="00F619AB">
        <w:rPr>
          <w:b/>
          <w:rtl/>
          <w:lang w:eastAsia="he-IL"/>
        </w:rPr>
        <w:t xml:space="preserve"> תא-שמע, "אגרת ודרשת התעוררות לאחד מרבותינו הראשונים", מוריה 19, (תשנ"ד), עמ' ז-</w:t>
      </w:r>
      <w:proofErr w:type="spellStart"/>
      <w:r w:rsidRPr="00F619AB">
        <w:rPr>
          <w:b/>
          <w:rtl/>
          <w:lang w:eastAsia="he-IL"/>
        </w:rPr>
        <w:t>יב</w:t>
      </w:r>
      <w:proofErr w:type="spellEnd"/>
      <w:r>
        <w:rPr>
          <w:rFonts w:hint="cs"/>
          <w:b/>
          <w:rtl/>
          <w:lang w:eastAsia="he-IL"/>
        </w:rPr>
        <w:t>)</w:t>
      </w:r>
      <w:r w:rsidRPr="00F619AB">
        <w:rPr>
          <w:b/>
          <w:rtl/>
          <w:lang w:eastAsia="he-IL"/>
        </w:rPr>
        <w:t>.</w:t>
      </w:r>
    </w:p>
    <w:p w14:paraId="4F625988" w14:textId="77777777" w:rsidR="00F619AB" w:rsidRPr="00F619AB" w:rsidRDefault="00F619AB" w:rsidP="00F619AB">
      <w:pPr>
        <w:rPr>
          <w:b/>
          <w:rtl/>
          <w:lang w:eastAsia="he-IL"/>
        </w:rPr>
      </w:pPr>
    </w:p>
    <w:p w14:paraId="0B1187EF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>1</w:t>
      </w:r>
      <w:r w:rsidRPr="00F619AB">
        <w:rPr>
          <w:rFonts w:hint="cs"/>
          <w:b/>
          <w:rtl/>
          <w:lang w:eastAsia="he-IL"/>
        </w:rPr>
        <w:t>1</w:t>
      </w:r>
      <w:r w:rsidRPr="00F619AB">
        <w:rPr>
          <w:b/>
          <w:rtl/>
          <w:lang w:eastAsia="he-IL"/>
        </w:rPr>
        <w:t xml:space="preserve">.  </w:t>
      </w:r>
      <w:r w:rsidRPr="00F619AB">
        <w:rPr>
          <w:bCs/>
          <w:rtl/>
          <w:lang w:eastAsia="he-IL"/>
        </w:rPr>
        <w:t xml:space="preserve">ארבעה טורים </w:t>
      </w:r>
      <w:proofErr w:type="spellStart"/>
      <w:r w:rsidRPr="00F619AB">
        <w:rPr>
          <w:bCs/>
          <w:rtl/>
          <w:lang w:eastAsia="he-IL"/>
        </w:rPr>
        <w:t>לר</w:t>
      </w:r>
      <w:proofErr w:type="spellEnd"/>
      <w:r w:rsidRPr="00F619AB">
        <w:rPr>
          <w:bCs/>
          <w:rtl/>
          <w:lang w:eastAsia="he-IL"/>
        </w:rPr>
        <w:t xml:space="preserve">' יעקב בן </w:t>
      </w:r>
      <w:proofErr w:type="spellStart"/>
      <w:r w:rsidRPr="00F619AB">
        <w:rPr>
          <w:bCs/>
          <w:rtl/>
          <w:lang w:eastAsia="he-IL"/>
        </w:rPr>
        <w:t>הרא"ש</w:t>
      </w:r>
      <w:proofErr w:type="spellEnd"/>
      <w:r w:rsidRPr="00F619AB">
        <w:rPr>
          <w:bCs/>
          <w:rtl/>
          <w:lang w:eastAsia="he-IL"/>
        </w:rPr>
        <w:t xml:space="preserve"> – בין אשכנז לספרד</w:t>
      </w:r>
    </w:p>
    <w:p w14:paraId="3A9880EA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>מקורת: הקדמת ר' יעקב לאורח חיים וחושן משפט</w:t>
      </w:r>
    </w:p>
    <w:p w14:paraId="0796677B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ab/>
        <w:t xml:space="preserve">מ' אלון, המשפט העברי, עמ' 1066 </w:t>
      </w:r>
    </w:p>
    <w:p w14:paraId="300C7E53" w14:textId="77777777" w:rsidR="00F619AB" w:rsidRPr="00F619AB" w:rsidRDefault="00F619AB" w:rsidP="00F619AB">
      <w:pPr>
        <w:rPr>
          <w:b/>
          <w:rtl/>
          <w:lang w:eastAsia="he-IL"/>
        </w:rPr>
      </w:pPr>
      <w:r>
        <w:rPr>
          <w:rFonts w:hint="cs"/>
          <w:b/>
          <w:rtl/>
          <w:lang w:eastAsia="he-IL"/>
        </w:rPr>
        <w:t>(</w:t>
      </w:r>
      <w:proofErr w:type="spellStart"/>
      <w:r w:rsidRPr="00F619AB">
        <w:rPr>
          <w:b/>
          <w:rtl/>
          <w:lang w:eastAsia="he-IL"/>
        </w:rPr>
        <w:t>י"מ</w:t>
      </w:r>
      <w:proofErr w:type="spellEnd"/>
      <w:r w:rsidRPr="00F619AB">
        <w:rPr>
          <w:b/>
          <w:rtl/>
          <w:lang w:eastAsia="he-IL"/>
        </w:rPr>
        <w:t xml:space="preserve"> תא-שמע, "רבנו אשר ובנו ר' יעקב בעל הטורים; בין אשכנז לספרד", פעמים 47-46 (תשנ"א), 91-75.</w:t>
      </w:r>
      <w:r>
        <w:rPr>
          <w:rFonts w:hint="cs"/>
          <w:b/>
          <w:rtl/>
          <w:lang w:eastAsia="he-IL"/>
        </w:rPr>
        <w:t>)</w:t>
      </w:r>
    </w:p>
    <w:p w14:paraId="6A57092C" w14:textId="77777777" w:rsidR="00F619AB" w:rsidRPr="00F619AB" w:rsidRDefault="00F619AB" w:rsidP="00F619AB">
      <w:pPr>
        <w:rPr>
          <w:b/>
          <w:rtl/>
          <w:lang w:eastAsia="he-IL"/>
        </w:rPr>
      </w:pPr>
    </w:p>
    <w:p w14:paraId="2807C0B7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>1</w:t>
      </w:r>
      <w:r w:rsidRPr="00F619AB">
        <w:rPr>
          <w:rFonts w:hint="cs"/>
          <w:b/>
          <w:rtl/>
          <w:lang w:eastAsia="he-IL"/>
        </w:rPr>
        <w:t>2</w:t>
      </w:r>
      <w:r w:rsidRPr="00F619AB">
        <w:rPr>
          <w:b/>
          <w:rtl/>
          <w:lang w:eastAsia="he-IL"/>
        </w:rPr>
        <w:t xml:space="preserve">. </w:t>
      </w:r>
      <w:r w:rsidRPr="00F619AB">
        <w:rPr>
          <w:bCs/>
          <w:rtl/>
          <w:lang w:eastAsia="he-IL"/>
        </w:rPr>
        <w:t>חיבוריו של רבינו ירוחם בן משולם – מפתח משוכלל למציאת הלכה ספציפית</w:t>
      </w:r>
    </w:p>
    <w:p w14:paraId="4C78FD41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 xml:space="preserve">מקורות: הקדמת ר' ירוחם לספריו "המישרים" ו"תולדות אדם וחוה"    </w:t>
      </w:r>
    </w:p>
    <w:p w14:paraId="5898791C" w14:textId="77777777" w:rsidR="00E22FF4" w:rsidRPr="00E22FF4" w:rsidRDefault="00E22FF4" w:rsidP="00E22FF4">
      <w:pPr>
        <w:rPr>
          <w:b/>
          <w:lang w:eastAsia="he-IL"/>
        </w:rPr>
      </w:pPr>
      <w:r>
        <w:rPr>
          <w:rFonts w:hint="cs"/>
          <w:b/>
          <w:rtl/>
          <w:lang w:eastAsia="he-IL"/>
        </w:rPr>
        <w:t xml:space="preserve">(י"ד </w:t>
      </w:r>
      <w:proofErr w:type="spellStart"/>
      <w:r>
        <w:rPr>
          <w:rFonts w:hint="cs"/>
          <w:b/>
          <w:rtl/>
          <w:lang w:eastAsia="he-IL"/>
        </w:rPr>
        <w:t>גלינסקי</w:t>
      </w:r>
      <w:proofErr w:type="spellEnd"/>
      <w:r>
        <w:rPr>
          <w:rFonts w:hint="cs"/>
          <w:b/>
          <w:rtl/>
          <w:lang w:eastAsia="he-IL"/>
        </w:rPr>
        <w:t>, "</w:t>
      </w:r>
      <w:proofErr w:type="spellStart"/>
      <w:r w:rsidRPr="00E22FF4">
        <w:rPr>
          <w:b/>
          <w:rtl/>
          <w:lang w:eastAsia="he-IL"/>
        </w:rPr>
        <w:t>ונשתוממתי</w:t>
      </w:r>
      <w:proofErr w:type="spellEnd"/>
      <w:r w:rsidRPr="00E22FF4">
        <w:rPr>
          <w:b/>
          <w:rtl/>
          <w:lang w:eastAsia="he-IL"/>
        </w:rPr>
        <w:t xml:space="preserve"> על המראה בראותי כמה טעיות והשמטות יש בדפוס" : לבירור אופיין של מהדורות "ספר מישרים" </w:t>
      </w:r>
      <w:proofErr w:type="spellStart"/>
      <w:r w:rsidRPr="00E22FF4">
        <w:rPr>
          <w:b/>
          <w:rtl/>
          <w:lang w:eastAsia="he-IL"/>
        </w:rPr>
        <w:t>לר</w:t>
      </w:r>
      <w:proofErr w:type="spellEnd"/>
      <w:r w:rsidRPr="00E22FF4">
        <w:rPr>
          <w:b/>
          <w:lang w:eastAsia="he-IL"/>
        </w:rPr>
        <w:t xml:space="preserve">' </w:t>
      </w:r>
      <w:r w:rsidRPr="00E22FF4">
        <w:rPr>
          <w:b/>
          <w:rtl/>
          <w:lang w:eastAsia="he-IL"/>
        </w:rPr>
        <w:t>ירוחם בן משולם</w:t>
      </w:r>
      <w:r>
        <w:rPr>
          <w:rFonts w:hint="cs"/>
          <w:b/>
          <w:rtl/>
          <w:lang w:eastAsia="he-IL"/>
        </w:rPr>
        <w:t xml:space="preserve">", </w:t>
      </w:r>
      <w:r w:rsidRPr="00E22FF4">
        <w:rPr>
          <w:b/>
          <w:rtl/>
          <w:lang w:eastAsia="he-IL"/>
        </w:rPr>
        <w:t xml:space="preserve">שנתון המשפט העברי </w:t>
      </w:r>
      <w:proofErr w:type="spellStart"/>
      <w:r w:rsidRPr="00E22FF4">
        <w:rPr>
          <w:b/>
          <w:rtl/>
          <w:lang w:eastAsia="he-IL"/>
        </w:rPr>
        <w:t>כו</w:t>
      </w:r>
      <w:proofErr w:type="spellEnd"/>
      <w:r w:rsidRPr="00E22FF4">
        <w:rPr>
          <w:b/>
          <w:rtl/>
          <w:lang w:eastAsia="he-IL"/>
        </w:rPr>
        <w:t xml:space="preserve"> (</w:t>
      </w:r>
      <w:proofErr w:type="spellStart"/>
      <w:r w:rsidRPr="00E22FF4">
        <w:rPr>
          <w:b/>
          <w:rtl/>
          <w:lang w:eastAsia="he-IL"/>
        </w:rPr>
        <w:t>תשסט-תשעא</w:t>
      </w:r>
      <w:proofErr w:type="spellEnd"/>
      <w:r w:rsidRPr="00E22FF4">
        <w:rPr>
          <w:b/>
          <w:rtl/>
          <w:lang w:eastAsia="he-IL"/>
        </w:rPr>
        <w:t>) 147-202</w:t>
      </w:r>
      <w:r>
        <w:rPr>
          <w:rFonts w:hint="cs"/>
          <w:b/>
          <w:rtl/>
          <w:lang w:eastAsia="he-IL"/>
        </w:rPr>
        <w:t>)</w:t>
      </w:r>
    </w:p>
    <w:p w14:paraId="6C6B007C" w14:textId="77777777" w:rsidR="00E22FF4" w:rsidRPr="00E22FF4" w:rsidRDefault="00E22FF4" w:rsidP="00E22FF4">
      <w:pPr>
        <w:rPr>
          <w:b/>
          <w:lang w:eastAsia="he-IL"/>
        </w:rPr>
      </w:pPr>
    </w:p>
    <w:p w14:paraId="5FFE82AA" w14:textId="77777777" w:rsidR="00F619AB" w:rsidRPr="00F619AB" w:rsidRDefault="00F619AB" w:rsidP="00F619AB">
      <w:pPr>
        <w:rPr>
          <w:b/>
          <w:rtl/>
          <w:lang w:eastAsia="he-IL"/>
        </w:rPr>
      </w:pPr>
    </w:p>
    <w:p w14:paraId="41E7AA12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>1</w:t>
      </w:r>
      <w:r w:rsidRPr="00F619AB">
        <w:rPr>
          <w:rFonts w:hint="cs"/>
          <w:b/>
          <w:rtl/>
          <w:lang w:eastAsia="he-IL"/>
        </w:rPr>
        <w:t>3</w:t>
      </w:r>
      <w:r w:rsidRPr="00F619AB">
        <w:rPr>
          <w:b/>
          <w:rtl/>
          <w:lang w:eastAsia="he-IL"/>
        </w:rPr>
        <w:t xml:space="preserve">. </w:t>
      </w:r>
      <w:r w:rsidRPr="00F619AB">
        <w:rPr>
          <w:bCs/>
          <w:rtl/>
          <w:lang w:eastAsia="he-IL"/>
        </w:rPr>
        <w:t xml:space="preserve">חיבוריו של ר' יצחק אבוהב – ספרו מנורת המאור </w:t>
      </w:r>
      <w:proofErr w:type="spellStart"/>
      <w:r w:rsidRPr="00F619AB">
        <w:rPr>
          <w:bCs/>
          <w:rtl/>
          <w:lang w:eastAsia="he-IL"/>
        </w:rPr>
        <w:t>וחבוריו</w:t>
      </w:r>
      <w:proofErr w:type="spellEnd"/>
      <w:r w:rsidRPr="00F619AB">
        <w:rPr>
          <w:bCs/>
          <w:rtl/>
          <w:lang w:eastAsia="he-IL"/>
        </w:rPr>
        <w:t xml:space="preserve"> ההלכתיים שולחן הפנים וארון העדות</w:t>
      </w:r>
      <w:r w:rsidRPr="00F619AB">
        <w:rPr>
          <w:b/>
          <w:rtl/>
          <w:lang w:eastAsia="he-IL"/>
        </w:rPr>
        <w:t xml:space="preserve"> </w:t>
      </w:r>
    </w:p>
    <w:p w14:paraId="6F74471C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>מקורות: הקדמת ר' יצחק אבוהב למנורת המאור</w:t>
      </w:r>
    </w:p>
    <w:p w14:paraId="5AD8DD74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ab/>
        <w:t>כ"י שוקן של שולחן הפנים</w:t>
      </w:r>
    </w:p>
    <w:p w14:paraId="4CB494B7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 xml:space="preserve">הברמן </w:t>
      </w:r>
      <w:proofErr w:type="spellStart"/>
      <w:r w:rsidRPr="00F619AB">
        <w:rPr>
          <w:b/>
          <w:rtl/>
          <w:lang w:eastAsia="he-IL"/>
        </w:rPr>
        <w:t>א"מ</w:t>
      </w:r>
      <w:proofErr w:type="spellEnd"/>
      <w:r w:rsidRPr="00F619AB">
        <w:rPr>
          <w:b/>
          <w:rtl/>
          <w:lang w:eastAsia="he-IL"/>
        </w:rPr>
        <w:t xml:space="preserve">, "ספר 'שולחן הפנים' </w:t>
      </w:r>
      <w:proofErr w:type="spellStart"/>
      <w:r w:rsidRPr="00F619AB">
        <w:rPr>
          <w:b/>
          <w:rtl/>
          <w:lang w:eastAsia="he-IL"/>
        </w:rPr>
        <w:t>לר</w:t>
      </w:r>
      <w:proofErr w:type="spellEnd"/>
      <w:r w:rsidRPr="00F619AB">
        <w:rPr>
          <w:b/>
          <w:rtl/>
          <w:lang w:eastAsia="he-IL"/>
        </w:rPr>
        <w:t>' יצחק אבוהב", סיני נט (תשכ"ו), עמ' קמט-קנח.</w:t>
      </w:r>
    </w:p>
    <w:p w14:paraId="46BA07B2" w14:textId="77777777" w:rsidR="00F619AB" w:rsidRPr="00F619AB" w:rsidRDefault="00F619AB" w:rsidP="00F619AB">
      <w:pPr>
        <w:rPr>
          <w:b/>
          <w:rtl/>
          <w:lang w:eastAsia="he-IL"/>
        </w:rPr>
      </w:pPr>
      <w:proofErr w:type="spellStart"/>
      <w:r w:rsidRPr="00F619AB">
        <w:rPr>
          <w:b/>
          <w:rtl/>
          <w:lang w:eastAsia="he-IL"/>
        </w:rPr>
        <w:t>י"מ</w:t>
      </w:r>
      <w:proofErr w:type="spellEnd"/>
      <w:r w:rsidRPr="00F619AB">
        <w:rPr>
          <w:b/>
          <w:rtl/>
          <w:lang w:eastAsia="he-IL"/>
        </w:rPr>
        <w:t xml:space="preserve"> תא-שמע, "חידת ספר 'מנורת המאור' ופתרונה", תרביץ סד (תשנ"ה) , עמ' 400-395.</w:t>
      </w:r>
    </w:p>
    <w:p w14:paraId="69C621FC" w14:textId="77777777" w:rsidR="00F619AB" w:rsidRPr="00F619AB" w:rsidRDefault="00F619AB" w:rsidP="00F619AB">
      <w:pPr>
        <w:rPr>
          <w:b/>
          <w:rtl/>
          <w:lang w:eastAsia="he-IL"/>
        </w:rPr>
      </w:pPr>
    </w:p>
    <w:p w14:paraId="7112B715" w14:textId="77777777" w:rsidR="00F619AB" w:rsidRPr="00F619AB" w:rsidRDefault="00F619AB" w:rsidP="00F619AB">
      <w:pPr>
        <w:rPr>
          <w:b/>
          <w:rtl/>
          <w:lang w:eastAsia="he-IL"/>
        </w:rPr>
      </w:pPr>
      <w:r w:rsidRPr="00F619AB">
        <w:rPr>
          <w:b/>
          <w:rtl/>
          <w:lang w:eastAsia="he-IL"/>
        </w:rPr>
        <w:t xml:space="preserve">14.  </w:t>
      </w:r>
      <w:r w:rsidRPr="00F619AB">
        <w:rPr>
          <w:bCs/>
          <w:rtl/>
          <w:lang w:eastAsia="he-IL"/>
        </w:rPr>
        <w:t>סיכום</w:t>
      </w:r>
    </w:p>
    <w:p w14:paraId="7606881A" w14:textId="77777777" w:rsidR="00F619AB" w:rsidRPr="0064740A" w:rsidRDefault="00F619AB" w:rsidP="00F619AB">
      <w:pPr>
        <w:rPr>
          <w:b/>
          <w:bCs/>
        </w:rPr>
      </w:pPr>
    </w:p>
    <w:p w14:paraId="73A047CD" w14:textId="77777777" w:rsidR="00F619AB" w:rsidRPr="00822C46" w:rsidRDefault="00F619AB" w:rsidP="00F619AB">
      <w:pPr>
        <w:spacing w:line="360" w:lineRule="auto"/>
        <w:ind w:left="26"/>
        <w:jc w:val="both"/>
        <w:rPr>
          <w:rFonts w:ascii="David" w:hAnsi="David" w:cs="David"/>
          <w:sz w:val="28"/>
          <w:szCs w:val="28"/>
        </w:rPr>
      </w:pPr>
    </w:p>
    <w:p w14:paraId="66EF7523" w14:textId="77777777" w:rsidR="00F619AB" w:rsidRPr="00822C46" w:rsidRDefault="00F619AB" w:rsidP="00F619AB">
      <w:pPr>
        <w:spacing w:line="360" w:lineRule="auto"/>
        <w:ind w:left="26"/>
        <w:jc w:val="both"/>
        <w:rPr>
          <w:rFonts w:ascii="David" w:hAnsi="David" w:cs="David"/>
          <w:sz w:val="28"/>
          <w:szCs w:val="28"/>
          <w:rtl/>
        </w:rPr>
      </w:pPr>
      <w:r w:rsidRPr="00822C46">
        <w:rPr>
          <w:rFonts w:ascii="David" w:hAnsi="David" w:cs="David"/>
          <w:b/>
          <w:bCs/>
          <w:sz w:val="28"/>
          <w:szCs w:val="28"/>
          <w:rtl/>
        </w:rPr>
        <w:t>ג. דרישות קדם:</w:t>
      </w:r>
      <w:r w:rsidRPr="00822C46">
        <w:rPr>
          <w:rFonts w:ascii="David" w:hAnsi="David" w:cs="David"/>
          <w:sz w:val="28"/>
          <w:szCs w:val="28"/>
          <w:rtl/>
        </w:rPr>
        <w:t xml:space="preserve"> </w:t>
      </w:r>
    </w:p>
    <w:p w14:paraId="0B6DAEB0" w14:textId="77777777" w:rsidR="00F619AB" w:rsidRPr="00822C46" w:rsidRDefault="00F619AB" w:rsidP="00F619AB">
      <w:pPr>
        <w:spacing w:line="360" w:lineRule="auto"/>
        <w:ind w:left="26"/>
        <w:jc w:val="both"/>
        <w:rPr>
          <w:rFonts w:ascii="David" w:hAnsi="David" w:cs="David"/>
          <w:sz w:val="28"/>
          <w:szCs w:val="28"/>
        </w:rPr>
      </w:pPr>
      <w:r w:rsidRPr="00822C46">
        <w:rPr>
          <w:rFonts w:ascii="David" w:hAnsi="David" w:cs="David"/>
          <w:sz w:val="28"/>
          <w:szCs w:val="28"/>
          <w:rtl/>
        </w:rPr>
        <w:t>אין</w:t>
      </w:r>
    </w:p>
    <w:p w14:paraId="09D349CB" w14:textId="77777777" w:rsidR="00F619AB" w:rsidRPr="00822C46" w:rsidRDefault="00F619AB" w:rsidP="00F619AB">
      <w:pPr>
        <w:spacing w:line="360" w:lineRule="auto"/>
        <w:ind w:left="26"/>
        <w:jc w:val="both"/>
        <w:rPr>
          <w:rFonts w:ascii="David" w:hAnsi="David" w:cs="David"/>
          <w:sz w:val="28"/>
          <w:szCs w:val="28"/>
        </w:rPr>
      </w:pPr>
    </w:p>
    <w:p w14:paraId="09C29889" w14:textId="77777777" w:rsidR="00F619AB" w:rsidRPr="003C070F" w:rsidRDefault="00F619AB" w:rsidP="00F619AB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ד. חובות / דרישות / מטלות:</w:t>
      </w:r>
    </w:p>
    <w:p w14:paraId="0962848F" w14:textId="44BEA29F" w:rsidR="00F619AB" w:rsidRPr="00986DED" w:rsidRDefault="00F619AB" w:rsidP="001240A5">
      <w:pPr>
        <w:jc w:val="both"/>
        <w:rPr>
          <w:rFonts w:ascii="David" w:hAnsi="David" w:cs="David"/>
          <w:color w:val="212121"/>
          <w:rtl/>
        </w:rPr>
      </w:pPr>
      <w:r w:rsidRPr="00986DED">
        <w:rPr>
          <w:rFonts w:ascii="David" w:hAnsi="David" w:cs="David"/>
          <w:color w:val="212121"/>
          <w:rtl/>
        </w:rPr>
        <w:t xml:space="preserve">נוכחות והשתתפות בשיעורים. מבחן </w:t>
      </w:r>
      <w:r w:rsidR="00420F62">
        <w:rPr>
          <w:rFonts w:ascii="David" w:hAnsi="David" w:cs="David" w:hint="cs"/>
          <w:color w:val="212121"/>
          <w:rtl/>
        </w:rPr>
        <w:t xml:space="preserve">(או ייתכן לאור המצב עבודה במקום בחינה) </w:t>
      </w:r>
      <w:r w:rsidRPr="00986DED">
        <w:rPr>
          <w:rFonts w:ascii="David" w:hAnsi="David" w:cs="David"/>
          <w:color w:val="212121"/>
          <w:rtl/>
        </w:rPr>
        <w:t>בסוף ה</w:t>
      </w:r>
      <w:r w:rsidR="00420F62">
        <w:rPr>
          <w:rFonts w:ascii="David" w:hAnsi="David" w:cs="David" w:hint="cs"/>
          <w:color w:val="212121"/>
          <w:rtl/>
        </w:rPr>
        <w:t>סמסטר</w:t>
      </w:r>
      <w:r w:rsidRPr="00986DED">
        <w:rPr>
          <w:rFonts w:ascii="David" w:hAnsi="David" w:cs="David"/>
          <w:color w:val="212121"/>
          <w:rtl/>
        </w:rPr>
        <w:t xml:space="preserve">.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בקורס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זה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יש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חובת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נוכחות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בכל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השיעורים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>, ש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תיבדק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מדי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שיעור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.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תלמיד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שייעדר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 מעל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חמש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הרצאות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ללא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סיבה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מוצדקת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לא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יורשה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לגשת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לבחינה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המסכמת</w:t>
      </w:r>
      <w:r w:rsidRPr="00986DED">
        <w:rPr>
          <w:rFonts w:ascii="David" w:hAnsi="David" w:cs="David"/>
          <w:color w:val="212121"/>
          <w:sz w:val="26"/>
          <w:szCs w:val="26"/>
          <w:rtl/>
        </w:rPr>
        <w:t xml:space="preserve">, ולא יקבל ציון </w:t>
      </w:r>
      <w:r w:rsidRPr="00986DED">
        <w:rPr>
          <w:rFonts w:ascii="David" w:eastAsia="Tahoma" w:hAnsi="David" w:cs="David"/>
          <w:color w:val="212121"/>
          <w:sz w:val="26"/>
          <w:szCs w:val="26"/>
          <w:rtl/>
        </w:rPr>
        <w:t>בקורס</w:t>
      </w:r>
      <w:r w:rsidR="001240A5">
        <w:rPr>
          <w:rFonts w:ascii="David" w:eastAsia="Tahoma" w:hAnsi="David" w:cs="David" w:hint="cs"/>
          <w:color w:val="212121"/>
          <w:sz w:val="26"/>
          <w:szCs w:val="26"/>
          <w:rtl/>
        </w:rPr>
        <w:t xml:space="preserve"> </w:t>
      </w:r>
      <w:r w:rsidR="001240A5">
        <w:rPr>
          <w:rFonts w:ascii="David" w:hAnsi="David" w:cs="David" w:hint="cs"/>
          <w:color w:val="212121"/>
          <w:rtl/>
        </w:rPr>
        <w:t xml:space="preserve">(כמובן לאור הנסיבות יהיה גמישות </w:t>
      </w:r>
      <w:proofErr w:type="spellStart"/>
      <w:r w:rsidR="001240A5">
        <w:rPr>
          <w:rFonts w:ascii="David" w:hAnsi="David" w:cs="David" w:hint="cs"/>
          <w:color w:val="212121"/>
          <w:rtl/>
        </w:rPr>
        <w:t>מסויימת</w:t>
      </w:r>
      <w:proofErr w:type="spellEnd"/>
      <w:r w:rsidR="001240A5">
        <w:rPr>
          <w:rFonts w:ascii="David" w:hAnsi="David" w:cs="David" w:hint="cs"/>
          <w:color w:val="212121"/>
          <w:rtl/>
        </w:rPr>
        <w:t>)</w:t>
      </w:r>
      <w:r w:rsidRPr="00986DED">
        <w:rPr>
          <w:rFonts w:ascii="David" w:hAnsi="David" w:cs="David"/>
          <w:color w:val="212121"/>
          <w:rtl/>
        </w:rPr>
        <w:t>.</w:t>
      </w:r>
    </w:p>
    <w:p w14:paraId="23840BB0" w14:textId="77777777" w:rsidR="00F619AB" w:rsidRDefault="00F619AB" w:rsidP="00F619AB">
      <w:pPr>
        <w:jc w:val="both"/>
        <w:rPr>
          <w:sz w:val="28"/>
          <w:szCs w:val="28"/>
          <w:rtl/>
        </w:rPr>
      </w:pPr>
    </w:p>
    <w:p w14:paraId="1BC11916" w14:textId="77777777" w:rsidR="00F619AB" w:rsidRPr="003C070F" w:rsidRDefault="00F619AB" w:rsidP="00F619AB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ה. מרכיבי הציון הסופי:</w:t>
      </w:r>
    </w:p>
    <w:p w14:paraId="59EC12AB" w14:textId="77777777" w:rsidR="00F619AB" w:rsidRPr="003C070F" w:rsidRDefault="00F619AB" w:rsidP="00F619AB">
      <w:pPr>
        <w:jc w:val="both"/>
        <w:rPr>
          <w:color w:val="00000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100% - מבחן</w:t>
      </w:r>
    </w:p>
    <w:p w14:paraId="5095145E" w14:textId="77777777" w:rsidR="00F619AB" w:rsidRPr="00822C46" w:rsidRDefault="00F619AB" w:rsidP="00F619AB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023B49B9" w14:textId="77777777" w:rsidR="00F619AB" w:rsidRDefault="00F619AB" w:rsidP="00F619AB">
      <w:pPr>
        <w:spacing w:line="360" w:lineRule="auto"/>
        <w:ind w:left="26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822C46">
        <w:rPr>
          <w:rFonts w:ascii="David" w:hAnsi="David" w:cs="David"/>
          <w:b/>
          <w:bCs/>
          <w:sz w:val="28"/>
          <w:szCs w:val="28"/>
          <w:rtl/>
        </w:rPr>
        <w:t>ו. ביבליוגרפיה</w:t>
      </w:r>
      <w:r w:rsidRPr="00822C46">
        <w:rPr>
          <w:rFonts w:ascii="David" w:hAnsi="David" w:cs="David"/>
          <w:b/>
          <w:bCs/>
          <w:color w:val="000000"/>
          <w:sz w:val="28"/>
          <w:szCs w:val="28"/>
          <w:rtl/>
        </w:rPr>
        <w:t>:</w:t>
      </w:r>
    </w:p>
    <w:p w14:paraId="3787DD14" w14:textId="77777777" w:rsidR="00E22FF4" w:rsidRPr="00E22FF4" w:rsidRDefault="00E22FF4" w:rsidP="00E22FF4">
      <w:pPr>
        <w:rPr>
          <w:rtl/>
        </w:rPr>
      </w:pPr>
      <w:r w:rsidRPr="00E22FF4">
        <w:rPr>
          <w:rtl/>
        </w:rPr>
        <w:t xml:space="preserve">מנחם אלון, המשפט העברי, ירושלים תשל"ח </w:t>
      </w:r>
    </w:p>
    <w:p w14:paraId="72391BCF" w14:textId="77777777" w:rsidR="00E22FF4" w:rsidRPr="00E22FF4" w:rsidRDefault="00E22FF4" w:rsidP="00E22FF4">
      <w:r w:rsidRPr="00F619AB">
        <w:rPr>
          <w:b/>
          <w:rtl/>
        </w:rPr>
        <w:t xml:space="preserve">י"ד </w:t>
      </w:r>
      <w:proofErr w:type="spellStart"/>
      <w:r w:rsidRPr="00F619AB">
        <w:rPr>
          <w:b/>
          <w:rtl/>
        </w:rPr>
        <w:t>גלינסקי</w:t>
      </w:r>
      <w:proofErr w:type="spellEnd"/>
      <w:r w:rsidRPr="00F619AB">
        <w:rPr>
          <w:b/>
          <w:rtl/>
        </w:rPr>
        <w:t>, "ארבעה טורים והספרות ההלכתית של ספרד במאה ה14-", אוניברסיטת בר אילן תשנ"ט</w:t>
      </w:r>
    </w:p>
    <w:p w14:paraId="13ECD95A" w14:textId="77777777" w:rsidR="00E22FF4" w:rsidRPr="00E22FF4" w:rsidRDefault="00E22FF4" w:rsidP="00E22FF4">
      <w:pPr>
        <w:rPr>
          <w:rtl/>
        </w:rPr>
      </w:pPr>
      <w:r w:rsidRPr="00E22FF4">
        <w:rPr>
          <w:rtl/>
        </w:rPr>
        <w:t xml:space="preserve">יצחק </w:t>
      </w:r>
      <w:proofErr w:type="spellStart"/>
      <w:r w:rsidRPr="00E22FF4">
        <w:rPr>
          <w:rtl/>
        </w:rPr>
        <w:t>טברסקי</w:t>
      </w:r>
      <w:proofErr w:type="spellEnd"/>
      <w:r w:rsidRPr="00E22FF4">
        <w:rPr>
          <w:rtl/>
        </w:rPr>
        <w:t xml:space="preserve">, מבוא למשנה תורה </w:t>
      </w:r>
      <w:proofErr w:type="spellStart"/>
      <w:r w:rsidRPr="00E22FF4">
        <w:rPr>
          <w:rtl/>
        </w:rPr>
        <w:t>להרמב"ם</w:t>
      </w:r>
      <w:proofErr w:type="spellEnd"/>
      <w:r w:rsidRPr="00E22FF4">
        <w:rPr>
          <w:rtl/>
        </w:rPr>
        <w:t>, ירושלים תשנ"א</w:t>
      </w:r>
    </w:p>
    <w:p w14:paraId="005AFCA2" w14:textId="77777777" w:rsidR="00E22FF4" w:rsidRPr="00E22FF4" w:rsidRDefault="00E22FF4" w:rsidP="00E22FF4">
      <w:pPr>
        <w:rPr>
          <w:rtl/>
        </w:rPr>
      </w:pPr>
      <w:r w:rsidRPr="00E22FF4">
        <w:rPr>
          <w:rtl/>
        </w:rPr>
        <w:t xml:space="preserve">חיים טשרנוביץ תולדות הפוסקים : כולל שלשלת הפוסקים, תכונת </w:t>
      </w:r>
      <w:proofErr w:type="spellStart"/>
      <w:r w:rsidRPr="00E22FF4">
        <w:rPr>
          <w:rtl/>
        </w:rPr>
        <w:t>חבוריהם</w:t>
      </w:r>
      <w:proofErr w:type="spellEnd"/>
      <w:r w:rsidRPr="00E22FF4">
        <w:rPr>
          <w:rtl/>
        </w:rPr>
        <w:t xml:space="preserve"> ויסודי שיטותיהם בדרכי ההוראה מתקופת הגאונים עד השלחן ערוך ונושאי כליו, נו יורק תש"ו-תש"ח</w:t>
      </w:r>
    </w:p>
    <w:p w14:paraId="3D9A8966" w14:textId="77777777" w:rsidR="00F619AB" w:rsidRDefault="00F619AB" w:rsidP="00F619AB">
      <w:r w:rsidRPr="00E22FF4">
        <w:rPr>
          <w:rtl/>
        </w:rPr>
        <w:t>ש' עמנואל, שברי לוחות: ספרים אבודים של בעלי התוספות, ירושלים תשס"ז</w:t>
      </w:r>
    </w:p>
    <w:p w14:paraId="6C95F0E2" w14:textId="77777777" w:rsidR="00F619AB" w:rsidRPr="00822C46" w:rsidRDefault="00F619AB" w:rsidP="00F619AB">
      <w:pPr>
        <w:bidi w:val="0"/>
        <w:spacing w:line="360" w:lineRule="auto"/>
        <w:jc w:val="both"/>
        <w:rPr>
          <w:rFonts w:ascii="David" w:hAnsi="David" w:cs="David"/>
          <w:rtl/>
        </w:rPr>
      </w:pPr>
    </w:p>
    <w:p w14:paraId="4F470CBB" w14:textId="77777777" w:rsidR="00F619AB" w:rsidRPr="00822C46" w:rsidRDefault="00F619AB" w:rsidP="00F619AB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822C46">
        <w:rPr>
          <w:rFonts w:ascii="David" w:hAnsi="David" w:cs="David"/>
          <w:b/>
          <w:bCs/>
          <w:sz w:val="28"/>
          <w:szCs w:val="28"/>
          <w:rtl/>
        </w:rPr>
        <w:t>ז.</w:t>
      </w:r>
      <w:r w:rsidRPr="00822C46">
        <w:rPr>
          <w:rFonts w:ascii="David" w:hAnsi="David" w:cs="David"/>
          <w:sz w:val="28"/>
          <w:szCs w:val="28"/>
          <w:rtl/>
        </w:rPr>
        <w:t xml:space="preserve"> </w:t>
      </w:r>
      <w:r w:rsidRPr="00822C46">
        <w:rPr>
          <w:rFonts w:ascii="David" w:hAnsi="David" w:cs="David"/>
          <w:b/>
          <w:bCs/>
          <w:sz w:val="28"/>
          <w:szCs w:val="28"/>
          <w:rtl/>
        </w:rPr>
        <w:t>שם הקורס באנגלית</w:t>
      </w:r>
      <w:r w:rsidRPr="00822C46">
        <w:rPr>
          <w:rFonts w:ascii="David" w:hAnsi="David" w:cs="David"/>
          <w:sz w:val="28"/>
          <w:szCs w:val="28"/>
          <w:rtl/>
        </w:rPr>
        <w:t>:</w:t>
      </w:r>
    </w:p>
    <w:p w14:paraId="73C03ADF" w14:textId="77777777" w:rsidR="00F619AB" w:rsidRPr="00822C46" w:rsidRDefault="00F619AB" w:rsidP="00F619AB">
      <w:pPr>
        <w:bidi w:val="0"/>
        <w:spacing w:line="36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</w:rPr>
        <w:t>H</w:t>
      </w:r>
      <w:r>
        <w:rPr>
          <w:rFonts w:ascii="David" w:hAnsi="David" w:cs="David"/>
          <w:sz w:val="28"/>
          <w:szCs w:val="28"/>
        </w:rPr>
        <w:t>alakhic Literature in Spain</w:t>
      </w:r>
    </w:p>
    <w:p w14:paraId="309F6E28" w14:textId="77777777" w:rsidR="00F619AB" w:rsidRPr="00F921D4" w:rsidRDefault="00F619AB" w:rsidP="00F619AB">
      <w:pPr>
        <w:bidi w:val="0"/>
      </w:pPr>
    </w:p>
    <w:p w14:paraId="6F51B2CB" w14:textId="77777777" w:rsidR="00F619AB" w:rsidRPr="0064740A" w:rsidRDefault="00F619AB" w:rsidP="00F619AB"/>
    <w:p w14:paraId="2C4513C7" w14:textId="77777777" w:rsidR="00EF7CA8" w:rsidRDefault="00EF7CA8"/>
    <w:sectPr w:rsidR="00EF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8756B"/>
    <w:multiLevelType w:val="multilevel"/>
    <w:tmpl w:val="98F0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AB"/>
    <w:rsid w:val="00066900"/>
    <w:rsid w:val="001240A5"/>
    <w:rsid w:val="00420F62"/>
    <w:rsid w:val="00650D15"/>
    <w:rsid w:val="0078321B"/>
    <w:rsid w:val="008F5774"/>
    <w:rsid w:val="009C2F5D"/>
    <w:rsid w:val="009E099A"/>
    <w:rsid w:val="00A83B61"/>
    <w:rsid w:val="00E22FF4"/>
    <w:rsid w:val="00EF7CA8"/>
    <w:rsid w:val="00F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F988"/>
  <w15:chartTrackingRefBased/>
  <w15:docId w15:val="{66F8E5E2-1357-4533-A841-52CA0895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9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judah galinsky</dc:creator>
  <cp:keywords/>
  <dc:description/>
  <cp:lastModifiedBy>reader</cp:lastModifiedBy>
  <cp:revision>3</cp:revision>
  <dcterms:created xsi:type="dcterms:W3CDTF">2020-09-17T06:15:00Z</dcterms:created>
  <dcterms:modified xsi:type="dcterms:W3CDTF">2020-09-17T06:20:00Z</dcterms:modified>
</cp:coreProperties>
</file>