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F5" w:rsidRPr="00421576" w:rsidRDefault="001B56F5" w:rsidP="001B56F5">
      <w:pPr>
        <w:spacing w:line="360" w:lineRule="auto"/>
        <w:ind w:left="26"/>
        <w:rPr>
          <w:rFonts w:ascii="Arial" w:hAnsi="Arial" w:cs="Arial"/>
          <w:rtl/>
        </w:rPr>
      </w:pPr>
    </w:p>
    <w:p w:rsidR="00FA6B10" w:rsidRDefault="00FA6B10" w:rsidP="00FA6B10">
      <w:pPr>
        <w:spacing w:line="360" w:lineRule="auto"/>
        <w:jc w:val="center"/>
        <w:rPr>
          <w:rFonts w:ascii="Arial" w:hAnsi="Arial" w:cs="Tahoma"/>
          <w:bCs/>
          <w:color w:val="548DD4"/>
          <w:rtl/>
        </w:rPr>
      </w:pPr>
      <w:r w:rsidRPr="00FA6B10">
        <w:rPr>
          <w:rFonts w:ascii="Arial" w:eastAsia="Calibri" w:hAnsi="Arial" w:cs="Tahoma"/>
          <w:bCs/>
          <w:noProof/>
          <w:color w:val="0070C0"/>
          <w:sz w:val="36"/>
          <w:szCs w:val="36"/>
        </w:rPr>
        <w:drawing>
          <wp:inline distT="0" distB="0" distL="0" distR="0">
            <wp:extent cx="1524000" cy="1203960"/>
            <wp:effectExtent l="0" t="0" r="0" b="0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10" w:rsidRDefault="00FA6B10" w:rsidP="00FA6B10">
      <w:pPr>
        <w:spacing w:line="360" w:lineRule="auto"/>
        <w:ind w:left="5040"/>
        <w:rPr>
          <w:rFonts w:ascii="Arial" w:hAnsi="Arial" w:cs="Tahoma"/>
          <w:bCs/>
          <w:color w:val="548DD4"/>
          <w:rtl/>
        </w:rPr>
      </w:pPr>
    </w:p>
    <w:p w:rsidR="00FA6B10" w:rsidRDefault="00FA6B10" w:rsidP="00FA6B10">
      <w:pPr>
        <w:spacing w:line="360" w:lineRule="auto"/>
        <w:ind w:left="5040"/>
        <w:jc w:val="right"/>
        <w:rPr>
          <w:rFonts w:ascii="Arial" w:hAnsi="Arial" w:cs="Tahoma"/>
          <w:bCs/>
          <w:color w:val="548DD4"/>
          <w:rtl/>
        </w:rPr>
      </w:pPr>
      <w:r>
        <w:rPr>
          <w:rFonts w:ascii="Arial" w:hAnsi="Arial" w:cs="Tahoma" w:hint="cs"/>
          <w:bCs/>
          <w:color w:val="548DD4"/>
          <w:rtl/>
        </w:rPr>
        <w:t>3.5.20</w:t>
      </w:r>
    </w:p>
    <w:p w:rsidR="001B56F5" w:rsidRPr="009D2FD4" w:rsidRDefault="001B56F5" w:rsidP="001B56F5">
      <w:pPr>
        <w:spacing w:line="360" w:lineRule="auto"/>
        <w:jc w:val="center"/>
        <w:rPr>
          <w:rFonts w:ascii="Arial" w:hAnsi="Arial" w:cs="Arial"/>
          <w:b/>
          <w:bCs/>
          <w:color w:val="5B9BD5" w:themeColor="accent1"/>
          <w:shd w:val="clear" w:color="auto" w:fill="FFFFFF"/>
          <w:rtl/>
        </w:rPr>
      </w:pPr>
      <w:r>
        <w:rPr>
          <w:rFonts w:ascii="Arial" w:hAnsi="Arial" w:cs="Tahoma"/>
          <w:bCs/>
          <w:color w:val="548DD4"/>
          <w:sz w:val="36"/>
          <w:szCs w:val="36"/>
          <w:rtl/>
        </w:rPr>
        <w:t xml:space="preserve">שם ומספר הקורס:  </w:t>
      </w:r>
      <w:proofErr w:type="spellStart"/>
      <w:r w:rsidRPr="009D2FD4">
        <w:rPr>
          <w:rFonts w:ascii="Tahoma" w:hAnsi="Tahoma" w:cs="Tahoma"/>
          <w:b/>
          <w:bCs/>
          <w:color w:val="5B9BD5" w:themeColor="accent1"/>
          <w:sz w:val="36"/>
          <w:szCs w:val="36"/>
          <w:shd w:val="clear" w:color="auto" w:fill="FFFFFF"/>
          <w:rtl/>
        </w:rPr>
        <w:t>הלכה,חברה</w:t>
      </w:r>
      <w:proofErr w:type="spellEnd"/>
      <w:r w:rsidRPr="009D2FD4">
        <w:rPr>
          <w:rFonts w:ascii="Tahoma" w:hAnsi="Tahoma" w:cs="Tahoma"/>
          <w:b/>
          <w:bCs/>
          <w:color w:val="5B9BD5" w:themeColor="accent1"/>
          <w:sz w:val="36"/>
          <w:szCs w:val="36"/>
          <w:shd w:val="clear" w:color="auto" w:fill="FFFFFF"/>
          <w:rtl/>
        </w:rPr>
        <w:t xml:space="preserve"> ומגדר</w:t>
      </w:r>
    </w:p>
    <w:p w:rsidR="001B56F5" w:rsidRPr="00FA6B10" w:rsidRDefault="001B56F5" w:rsidP="001B56F5">
      <w:pPr>
        <w:spacing w:line="360" w:lineRule="auto"/>
        <w:jc w:val="center"/>
        <w:rPr>
          <w:rFonts w:ascii="Arial" w:hAnsi="Arial" w:cs="Tahoma"/>
          <w:b/>
          <w:bCs/>
          <w:color w:val="5B9BD5" w:themeColor="accent1"/>
          <w:sz w:val="40"/>
          <w:szCs w:val="40"/>
          <w:rtl/>
        </w:rPr>
      </w:pPr>
      <w:r w:rsidRPr="00FA6B1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  <w:rtl/>
        </w:rPr>
        <w:t>10-</w:t>
      </w:r>
      <w:r w:rsidRPr="00FA6B10">
        <w:rPr>
          <w:rFonts w:ascii="Arial" w:hAnsi="Arial" w:cs="Arial" w:hint="cs"/>
          <w:b/>
          <w:bCs/>
          <w:color w:val="5B9BD5" w:themeColor="accent1"/>
          <w:sz w:val="28"/>
          <w:szCs w:val="28"/>
          <w:shd w:val="clear" w:color="auto" w:fill="FFFFFF"/>
          <w:rtl/>
        </w:rPr>
        <w:t>828</w:t>
      </w:r>
      <w:r w:rsidRPr="00FA6B1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  <w:rtl/>
        </w:rPr>
        <w:t>-01</w:t>
      </w:r>
    </w:p>
    <w:p w:rsidR="001B56F5" w:rsidRPr="009D2FD4" w:rsidRDefault="001B56F5" w:rsidP="001B56F5">
      <w:pPr>
        <w:spacing w:line="360" w:lineRule="auto"/>
        <w:jc w:val="center"/>
        <w:rPr>
          <w:rFonts w:ascii="Arial" w:hAnsi="Arial" w:cs="Tahoma"/>
          <w:b/>
          <w:bCs/>
          <w:color w:val="548DD4"/>
          <w:rtl/>
        </w:rPr>
      </w:pPr>
      <w:r>
        <w:rPr>
          <w:rFonts w:ascii="Arial" w:hAnsi="Arial" w:cs="Tahoma"/>
          <w:bCs/>
          <w:color w:val="548DD4"/>
          <w:sz w:val="36"/>
          <w:szCs w:val="28"/>
          <w:rtl/>
        </w:rPr>
        <w:t>שם המרצה:</w:t>
      </w:r>
      <w:r>
        <w:rPr>
          <w:rFonts w:ascii="Arial" w:hAnsi="Arial" w:cs="Tahoma" w:hint="cs"/>
          <w:color w:val="548DD4"/>
          <w:szCs w:val="20"/>
          <w:rtl/>
        </w:rPr>
        <w:t xml:space="preserve"> </w:t>
      </w:r>
      <w:r w:rsidRPr="009D2FD4">
        <w:rPr>
          <w:rFonts w:ascii="Arial" w:hAnsi="Arial" w:cs="Tahoma" w:hint="cs"/>
          <w:b/>
          <w:bCs/>
          <w:color w:val="548DD4"/>
          <w:rtl/>
        </w:rPr>
        <w:t xml:space="preserve">ד"ר חיים </w:t>
      </w:r>
      <w:proofErr w:type="spellStart"/>
      <w:r w:rsidRPr="009D2FD4">
        <w:rPr>
          <w:rFonts w:ascii="Arial" w:hAnsi="Arial" w:cs="Tahoma" w:hint="cs"/>
          <w:b/>
          <w:bCs/>
          <w:color w:val="548DD4"/>
          <w:rtl/>
        </w:rPr>
        <w:t>בורגנסקי</w:t>
      </w:r>
      <w:proofErr w:type="spellEnd"/>
    </w:p>
    <w:p w:rsidR="001B56F5" w:rsidRDefault="001B56F5" w:rsidP="001B56F5">
      <w:pPr>
        <w:spacing w:line="360" w:lineRule="auto"/>
        <w:jc w:val="center"/>
        <w:rPr>
          <w:rFonts w:ascii="Arial" w:hAnsi="Arial" w:cs="Arial"/>
          <w:color w:val="548DD4"/>
          <w:rtl/>
        </w:rPr>
      </w:pPr>
      <w:r>
        <w:rPr>
          <w:rFonts w:ascii="Arial" w:hAnsi="Arial" w:cs="Arial"/>
          <w:b/>
          <w:bCs/>
          <w:color w:val="548DD4"/>
          <w:rtl/>
        </w:rPr>
        <w:t>סוג הקורס</w:t>
      </w:r>
      <w:r>
        <w:rPr>
          <w:rFonts w:ascii="Arial" w:hAnsi="Arial" w:cs="Arial" w:hint="cs"/>
          <w:b/>
          <w:bCs/>
          <w:color w:val="548DD4"/>
          <w:rtl/>
        </w:rPr>
        <w:t>: סמינריון</w:t>
      </w:r>
    </w:p>
    <w:p w:rsidR="001B56F5" w:rsidRDefault="001B56F5" w:rsidP="001B56F5">
      <w:pPr>
        <w:spacing w:line="360" w:lineRule="auto"/>
        <w:rPr>
          <w:rFonts w:ascii="Arial" w:hAnsi="Arial" w:cs="Arial"/>
          <w:color w:val="548DD4"/>
          <w:rtl/>
        </w:rPr>
      </w:pPr>
      <w:r>
        <w:rPr>
          <w:rFonts w:ascii="Arial" w:hAnsi="Arial" w:cs="Arial"/>
          <w:b/>
          <w:bCs/>
          <w:color w:val="548DD4"/>
          <w:rtl/>
        </w:rPr>
        <w:t>שנת לימודים</w:t>
      </w:r>
      <w:r>
        <w:rPr>
          <w:rFonts w:ascii="Arial" w:hAnsi="Arial" w:cs="Arial"/>
          <w:color w:val="548DD4"/>
          <w:rtl/>
        </w:rPr>
        <w:t xml:space="preserve">: </w:t>
      </w:r>
      <w:r>
        <w:rPr>
          <w:rFonts w:ascii="Arial" w:hAnsi="Arial" w:cs="Arial" w:hint="cs"/>
          <w:color w:val="548DD4"/>
          <w:rtl/>
        </w:rPr>
        <w:t>תשפ"א</w:t>
      </w:r>
      <w:r>
        <w:rPr>
          <w:rFonts w:ascii="Arial" w:hAnsi="Arial" w:cs="Arial"/>
          <w:color w:val="548DD4"/>
          <w:rtl/>
        </w:rPr>
        <w:t xml:space="preserve">                </w:t>
      </w:r>
      <w:r>
        <w:rPr>
          <w:rFonts w:ascii="Arial" w:hAnsi="Arial" w:cs="Arial"/>
          <w:b/>
          <w:bCs/>
          <w:color w:val="548DD4"/>
          <w:rtl/>
        </w:rPr>
        <w:t>סמסטר</w:t>
      </w:r>
      <w:r>
        <w:rPr>
          <w:rFonts w:ascii="Arial" w:hAnsi="Arial" w:cs="Arial"/>
          <w:color w:val="548DD4"/>
          <w:rtl/>
        </w:rPr>
        <w:t xml:space="preserve">:  </w:t>
      </w:r>
      <w:proofErr w:type="spellStart"/>
      <w:r>
        <w:rPr>
          <w:rFonts w:ascii="Arial" w:hAnsi="Arial" w:cs="Arial" w:hint="cs"/>
          <w:color w:val="548DD4"/>
          <w:rtl/>
        </w:rPr>
        <w:t>א+ב</w:t>
      </w:r>
      <w:proofErr w:type="spellEnd"/>
      <w:r>
        <w:rPr>
          <w:rFonts w:ascii="Arial" w:hAnsi="Arial" w:cs="Arial"/>
          <w:color w:val="548DD4"/>
          <w:rtl/>
        </w:rPr>
        <w:t xml:space="preserve">                           </w:t>
      </w:r>
      <w:r>
        <w:rPr>
          <w:rFonts w:ascii="Arial" w:hAnsi="Arial" w:cs="Arial"/>
          <w:b/>
          <w:bCs/>
          <w:color w:val="548DD4"/>
          <w:rtl/>
        </w:rPr>
        <w:t>היקף שעות</w:t>
      </w:r>
      <w:r>
        <w:rPr>
          <w:rFonts w:ascii="Arial" w:hAnsi="Arial" w:cs="Arial"/>
          <w:color w:val="548DD4"/>
          <w:rtl/>
        </w:rPr>
        <w:t xml:space="preserve">:  </w:t>
      </w:r>
      <w:r>
        <w:rPr>
          <w:rFonts w:ascii="Arial" w:hAnsi="Arial" w:cs="Arial" w:hint="cs"/>
          <w:color w:val="548DD4"/>
          <w:rtl/>
        </w:rPr>
        <w:t>2</w:t>
      </w:r>
    </w:p>
    <w:p w:rsidR="00FA6B10" w:rsidRPr="00FA6B10" w:rsidRDefault="00FA6B10" w:rsidP="00FA6B10">
      <w:pPr>
        <w:spacing w:line="360" w:lineRule="auto"/>
        <w:rPr>
          <w:rFonts w:ascii="Calibri" w:eastAsia="Calibri" w:hAnsi="Calibri" w:cs="Arial"/>
          <w:sz w:val="22"/>
          <w:szCs w:val="22"/>
          <w:rtl/>
        </w:rPr>
      </w:pPr>
      <w:r w:rsidRPr="00FA6B10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FA6B10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FA6B10">
        <w:rPr>
          <w:rFonts w:ascii="Calibri" w:eastAsia="Calibri" w:hAnsi="Calibri" w:cs="Arial"/>
          <w:sz w:val="22"/>
          <w:szCs w:val="22"/>
        </w:rPr>
        <w:t>lemida.biu.ac.il</w:t>
      </w:r>
      <w:r w:rsidRPr="00FA6B10">
        <w:rPr>
          <w:rFonts w:ascii="Calibri" w:eastAsia="Calibri" w:hAnsi="Calibri" w:cs="Arial"/>
          <w:b/>
          <w:bCs/>
          <w:sz w:val="22"/>
          <w:szCs w:val="22"/>
          <w:rtl/>
        </w:rPr>
        <w:t xml:space="preserve">   </w:t>
      </w:r>
    </w:p>
    <w:p w:rsidR="001B56F5" w:rsidRDefault="001B56F5" w:rsidP="001B56F5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1B56F5" w:rsidRDefault="001B56F5" w:rsidP="001B56F5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C848C3">
        <w:rPr>
          <w:rFonts w:ascii="Arial" w:hAnsi="Arial" w:cs="Arial" w:hint="cs"/>
          <w:rtl/>
        </w:rPr>
        <w:t xml:space="preserve">הסטודנט יכיר מקורות </w:t>
      </w:r>
      <w:proofErr w:type="spellStart"/>
      <w:r w:rsidRPr="00C848C3">
        <w:rPr>
          <w:rFonts w:ascii="Arial" w:hAnsi="Arial" w:cs="Arial" w:hint="cs"/>
          <w:rtl/>
        </w:rPr>
        <w:t>חז"ליים</w:t>
      </w:r>
      <w:proofErr w:type="spellEnd"/>
      <w:r w:rsidRPr="00C848C3">
        <w:rPr>
          <w:rFonts w:ascii="Arial" w:hAnsi="Arial" w:cs="Arial" w:hint="cs"/>
          <w:rtl/>
        </w:rPr>
        <w:t xml:space="preserve"> והלכתיים העוסקים ב</w:t>
      </w:r>
      <w:r>
        <w:rPr>
          <w:rFonts w:ascii="Arial" w:hAnsi="Arial" w:cs="Arial" w:hint="cs"/>
          <w:rtl/>
        </w:rPr>
        <w:t>חברה היהודית ובקבוצות השונות המרכיבות אותה</w:t>
      </w:r>
      <w:r w:rsidRPr="00C848C3">
        <w:rPr>
          <w:rFonts w:ascii="Arial" w:hAnsi="Arial" w:cs="Arial" w:hint="cs"/>
          <w:rtl/>
        </w:rPr>
        <w:t xml:space="preserve">. הסטודנט יכיר </w:t>
      </w:r>
      <w:r>
        <w:rPr>
          <w:rFonts w:ascii="Arial" w:hAnsi="Arial" w:cs="Arial" w:hint="cs"/>
          <w:rtl/>
        </w:rPr>
        <w:t>סוגיות</w:t>
      </w:r>
      <w:r w:rsidRPr="00C848C3">
        <w:rPr>
          <w:rFonts w:ascii="Arial" w:hAnsi="Arial" w:cs="Arial" w:hint="cs"/>
          <w:rtl/>
        </w:rPr>
        <w:t xml:space="preserve"> שונות המצויות ב</w:t>
      </w:r>
      <w:r>
        <w:rPr>
          <w:rFonts w:ascii="Arial" w:hAnsi="Arial" w:cs="Arial" w:hint="cs"/>
          <w:rtl/>
        </w:rPr>
        <w:t>לב הדיונים של</w:t>
      </w:r>
      <w:r w:rsidRPr="00C848C3">
        <w:rPr>
          <w:rFonts w:ascii="Arial" w:hAnsi="Arial" w:cs="Arial" w:hint="cs"/>
          <w:rtl/>
        </w:rPr>
        <w:t xml:space="preserve"> פוסקי ההלכה המודרניים ביחס </w:t>
      </w:r>
      <w:r>
        <w:rPr>
          <w:rFonts w:ascii="Arial" w:hAnsi="Arial" w:cs="Arial" w:hint="cs"/>
          <w:rtl/>
        </w:rPr>
        <w:t>למקורות אלה</w:t>
      </w:r>
      <w:r w:rsidRPr="00C848C3">
        <w:rPr>
          <w:rFonts w:ascii="Arial" w:hAnsi="Arial" w:cs="Arial" w:hint="cs"/>
          <w:rtl/>
        </w:rPr>
        <w:t>.</w:t>
      </w:r>
    </w:p>
    <w:p w:rsidR="001B56F5" w:rsidRDefault="001B56F5" w:rsidP="001B56F5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1B56F5" w:rsidRDefault="001B56F5" w:rsidP="001B56F5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1B56F5" w:rsidRPr="00C848C3" w:rsidRDefault="001B56F5" w:rsidP="001B56F5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הקורס יעסוק </w:t>
      </w:r>
      <w:r w:rsidRPr="00C848C3">
        <w:rPr>
          <w:rFonts w:ascii="Arial" w:hAnsi="Arial" w:cs="Arial" w:hint="cs"/>
          <w:rtl/>
        </w:rPr>
        <w:t xml:space="preserve">בסוגיות הלכתיות הנוגעות </w:t>
      </w:r>
      <w:r>
        <w:rPr>
          <w:rFonts w:ascii="Arial" w:hAnsi="Arial" w:cs="Arial" w:hint="cs"/>
          <w:rtl/>
        </w:rPr>
        <w:t xml:space="preserve">לחברה היהודית, ליחס ההלכה </w:t>
      </w:r>
      <w:proofErr w:type="spellStart"/>
      <w:r>
        <w:rPr>
          <w:rFonts w:ascii="Arial" w:hAnsi="Arial" w:cs="Arial" w:hint="cs"/>
          <w:rtl/>
        </w:rPr>
        <w:t>למחללי</w:t>
      </w:r>
      <w:proofErr w:type="spellEnd"/>
      <w:r>
        <w:rPr>
          <w:rFonts w:ascii="Arial" w:hAnsi="Arial" w:cs="Arial" w:hint="cs"/>
          <w:rtl/>
        </w:rPr>
        <w:t xml:space="preserve"> שבתות, למיעוטים. סמסטר אחד יוקדש לסוגיות הלכתיות הנוגעות למגדר. </w:t>
      </w:r>
      <w:r w:rsidRPr="00C848C3">
        <w:rPr>
          <w:rFonts w:ascii="Arial" w:hAnsi="Arial" w:cs="Arial" w:hint="cs"/>
          <w:rtl/>
        </w:rPr>
        <w:t>במהל</w:t>
      </w:r>
      <w:r>
        <w:rPr>
          <w:rFonts w:ascii="Arial" w:hAnsi="Arial" w:cs="Arial" w:hint="cs"/>
          <w:rtl/>
        </w:rPr>
        <w:t>ך הקורס</w:t>
      </w:r>
      <w:r w:rsidRPr="00C848C3">
        <w:rPr>
          <w:rFonts w:ascii="Arial" w:hAnsi="Arial" w:cs="Arial" w:hint="cs"/>
          <w:rtl/>
        </w:rPr>
        <w:t xml:space="preserve"> ילמדו המקורות היסודיים בשאלות אלה לאורך ההיסטוריה של ההלכה, ויבחן יחסם של פוסקי ההלכה בני זמננו לאותן סוגיות. </w:t>
      </w:r>
    </w:p>
    <w:p w:rsidR="001B56F5" w:rsidRPr="00C848C3" w:rsidRDefault="001B56F5" w:rsidP="001B56F5">
      <w:pPr>
        <w:ind w:left="26"/>
        <w:rPr>
          <w:rFonts w:ascii="Arial" w:hAnsi="Arial" w:cs="Arial"/>
          <w:b/>
          <w:bCs/>
        </w:rPr>
      </w:pPr>
      <w:r w:rsidRPr="00C848C3">
        <w:rPr>
          <w:rFonts w:ascii="Arial" w:hAnsi="Arial" w:cs="Arial" w:hint="cs"/>
          <w:rtl/>
        </w:rPr>
        <w:t>נבחן כיצד מתמודדים פוסקי הלכה בדורות האחרונים עם המתח בין מקורות ההלכה לבין העולם המערבי ותרבותו.</w:t>
      </w:r>
    </w:p>
    <w:p w:rsidR="001B56F5" w:rsidRPr="007A5386" w:rsidRDefault="001B56F5" w:rsidP="001B56F5">
      <w:pPr>
        <w:ind w:left="26"/>
        <w:rPr>
          <w:rFonts w:ascii="Arial" w:hAnsi="Arial" w:cs="Arial"/>
        </w:rPr>
      </w:pPr>
    </w:p>
    <w:p w:rsidR="001B56F5" w:rsidRPr="002E026B" w:rsidRDefault="001B56F5" w:rsidP="001B56F5">
      <w:pPr>
        <w:ind w:left="26"/>
        <w:rPr>
          <w:rFonts w:ascii="Arial" w:hAnsi="Arial" w:cs="Arial"/>
        </w:rPr>
      </w:pPr>
    </w:p>
    <w:p w:rsidR="001B56F5" w:rsidRDefault="001B56F5" w:rsidP="001B56F5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 ודיון במקורות</w:t>
      </w:r>
    </w:p>
    <w:p w:rsidR="001B56F5" w:rsidRDefault="001B56F5" w:rsidP="001B56F5">
      <w:pPr>
        <w:ind w:left="26"/>
        <w:rPr>
          <w:rFonts w:ascii="Arial" w:hAnsi="Arial" w:cs="Arial"/>
        </w:rPr>
      </w:pPr>
    </w:p>
    <w:p w:rsidR="001B56F5" w:rsidRDefault="001B56F5" w:rsidP="001B56F5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 xml:space="preserve">(רשימה או טבלה כדוגמת </w:t>
      </w:r>
      <w:proofErr w:type="spellStart"/>
      <w:r>
        <w:rPr>
          <w:rFonts w:ascii="Arial" w:hAnsi="Arial" w:cs="Arial"/>
          <w:rtl/>
        </w:rPr>
        <w:t>המצ"ב</w:t>
      </w:r>
      <w:proofErr w:type="spellEnd"/>
      <w:r>
        <w:rPr>
          <w:rFonts w:ascii="Arial" w:hAnsi="Arial" w:cs="Arial"/>
          <w:rtl/>
        </w:rPr>
        <w:t>)</w:t>
      </w:r>
    </w:p>
    <w:p w:rsidR="001B56F5" w:rsidRDefault="001B56F5" w:rsidP="001B56F5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סמסטר א:</w:t>
      </w:r>
    </w:p>
    <w:p w:rsidR="001B56F5" w:rsidRPr="00960575" w:rsidRDefault="001B56F5" w:rsidP="001B56F5">
      <w:pPr>
        <w:ind w:left="26"/>
        <w:rPr>
          <w:rFonts w:ascii="Arial" w:hAnsi="Arial" w:cs="Arial"/>
          <w:rtl/>
        </w:rPr>
      </w:pPr>
    </w:p>
    <w:tbl>
      <w:tblPr>
        <w:bidiVisual/>
        <w:tblW w:w="7913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4386"/>
      </w:tblGrid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נושא השיעור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קריאה נדרשת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החברה ההלכתית ו"האחרים". ההלכה והחברה הכללית.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</w:p>
        </w:tc>
      </w:tr>
      <w:tr w:rsidR="001B56F5" w:rsidRPr="00050150" w:rsidTr="002A7DD9">
        <w:trPr>
          <w:trHeight w:val="70"/>
        </w:trPr>
        <w:tc>
          <w:tcPr>
            <w:tcW w:w="1349" w:type="dxa"/>
            <w:vMerge w:val="restart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2</w:t>
            </w:r>
          </w:p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</w:p>
          <w:p w:rsidR="001B56F5" w:rsidRPr="00050150" w:rsidRDefault="001B56F5" w:rsidP="002A7DD9">
            <w:pPr>
              <w:spacing w:line="360" w:lineRule="auto"/>
            </w:pPr>
          </w:p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3</w:t>
            </w:r>
          </w:p>
          <w:p w:rsidR="001B56F5" w:rsidRPr="00050150" w:rsidRDefault="001B56F5" w:rsidP="002A7DD9">
            <w:pPr>
              <w:spacing w:line="360" w:lineRule="auto"/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1B56F5" w:rsidRPr="00050150" w:rsidRDefault="001B56F5" w:rsidP="002A7DD9">
            <w:pPr>
              <w:widowControl w:val="0"/>
              <w:spacing w:line="360" w:lineRule="auto"/>
            </w:pPr>
            <w:r w:rsidRPr="00050150">
              <w:rPr>
                <w:rtl/>
                <w:lang w:eastAsia="he-IL"/>
              </w:rPr>
              <w:lastRenderedPageBreak/>
              <w:t>שותפותם של המיעוטים במדינה היהודית.</w:t>
            </w:r>
          </w:p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lastRenderedPageBreak/>
              <w:t>בני מיעוטים כנבחרים למוסדות השלטון – המקורות הבסיסיים.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  <w:ind w:left="26"/>
              <w:rPr>
                <w:rtl/>
              </w:rPr>
            </w:pPr>
            <w:r w:rsidRPr="00050150">
              <w:rPr>
                <w:rtl/>
              </w:rPr>
              <w:lastRenderedPageBreak/>
              <w:t xml:space="preserve">אלישע אבינר, "מעמד הישמעאלים במדינת ישראל לפי ההלכה",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ח (תשמ"ז), עמ' 337-382. </w:t>
            </w:r>
          </w:p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vMerge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</w:p>
        </w:tc>
        <w:tc>
          <w:tcPr>
            <w:tcW w:w="2178" w:type="dxa"/>
            <w:vMerge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</w:p>
        </w:tc>
        <w:tc>
          <w:tcPr>
            <w:tcW w:w="4386" w:type="dxa"/>
            <w:shd w:val="clear" w:color="auto" w:fill="auto"/>
          </w:tcPr>
          <w:p w:rsidR="001B56F5" w:rsidRPr="002F393D" w:rsidRDefault="001B56F5" w:rsidP="002A7DD9">
            <w:pPr>
              <w:spacing w:line="276" w:lineRule="auto"/>
              <w:rPr>
                <w:color w:val="FF0000"/>
              </w:rPr>
            </w:pPr>
            <w:r w:rsidRPr="002F393D">
              <w:rPr>
                <w:rFonts w:hint="cs"/>
                <w:color w:val="FF0000"/>
                <w:rtl/>
              </w:rPr>
              <w:t xml:space="preserve">אליעזר חדד (בהנחיית ידידיה צ. שטרן), </w:t>
            </w:r>
            <w:r w:rsidRPr="002F393D">
              <w:rPr>
                <w:color w:val="FF0000"/>
                <w:rtl/>
              </w:rPr>
              <w:t>מיעוטים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במדינה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יהודית</w:t>
            </w:r>
            <w:r>
              <w:rPr>
                <w:rFonts w:hint="cs"/>
                <w:color w:val="FF0000"/>
                <w:rtl/>
              </w:rPr>
              <w:t>:</w:t>
            </w:r>
            <w:r w:rsidRPr="002F393D">
              <w:rPr>
                <w:color w:val="FF0000"/>
                <w:rtl/>
              </w:rPr>
              <w:t xml:space="preserve"> היבטים</w:t>
            </w:r>
            <w:r w:rsidRPr="002F393D">
              <w:rPr>
                <w:rFonts w:hint="cs"/>
                <w:color w:val="FF0000"/>
                <w:rtl/>
              </w:rPr>
              <w:t xml:space="preserve"> </w:t>
            </w:r>
            <w:r w:rsidRPr="002F393D">
              <w:rPr>
                <w:color w:val="FF0000"/>
                <w:rtl/>
              </w:rPr>
              <w:t>הלכתיים</w:t>
            </w:r>
            <w:r w:rsidRPr="002F393D">
              <w:rPr>
                <w:rFonts w:hint="cs"/>
                <w:color w:val="FF0000"/>
                <w:rtl/>
              </w:rPr>
              <w:t>, ירושלים, תש"ע, עמ' 44-72</w:t>
            </w:r>
            <w:r w:rsidRPr="002F393D">
              <w:rPr>
                <w:color w:val="FF0000"/>
                <w:rtl/>
              </w:rPr>
              <w:t xml:space="preserve"> 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lastRenderedPageBreak/>
              <w:t>4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בני מיעוטים כנבחרים למוסדות השלטון – המודלים של הרב הרצוג והרב ישראלי.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>הרב שאול ישראלי, חוות בנימין א', כפר דרום, תשנ"ב, עמ' פח-צג.</w:t>
            </w:r>
          </w:p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בני מיעוטים כנבחרים למוסדות השלטון – המודל של הרב צבי יהודה קוק ויישומו ההלכתי.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</w:pPr>
            <w:r w:rsidRPr="00050150">
              <w:rPr>
                <w:rtl/>
              </w:rPr>
              <w:t xml:space="preserve">"בין שיתוף לכיבוש – יחסם של פוסקי הלכה בציונות הדתית לערביי הארץ", התפתחות ותמורות בציונות הדתית בארץ ישראל ובתפוצות (בעריכת ישי ארנון, יהודה </w:t>
            </w:r>
            <w:proofErr w:type="spellStart"/>
            <w:r w:rsidRPr="00050150">
              <w:rPr>
                <w:rtl/>
              </w:rPr>
              <w:t>פרידלנדר</w:t>
            </w:r>
            <w:proofErr w:type="spellEnd"/>
            <w:r w:rsidRPr="00050150">
              <w:rPr>
                <w:rtl/>
              </w:rPr>
              <w:t xml:space="preserve"> ודב שוורץ), הוצאת אוניברסיטת בר-אילן, רמת גן, תשע"ב, עמ' 193-215.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– המקורות הבסיסיים.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</w:pPr>
            <w:r w:rsidRPr="00050150">
              <w:rPr>
                <w:rtl/>
              </w:rPr>
              <w:t>צבי זוהר ואבי שגיא, מעגלי זהות יהודית בספרות ההלכתית, תל אביב, 2000, עמ' 11 – 18.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– תקופת הגאונים.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</w:pPr>
            <w:r w:rsidRPr="00050150">
              <w:rPr>
                <w:rtl/>
              </w:rPr>
              <w:t>צבי זוהר ואבי שגיא, מעגלי זהות יהודית בספרות ההלכתית, תל אביב, 2000, עמ' 33 - 67.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היחס ההלכתי כלפי מחלל שבת החל מהמאה התשע עשרה; מודלים של התייחסות הלכתית.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 xml:space="preserve">הרב אברהם </w:t>
            </w:r>
            <w:proofErr w:type="spellStart"/>
            <w:r w:rsidRPr="00050150">
              <w:rPr>
                <w:rtl/>
              </w:rPr>
              <w:t>שרמן</w:t>
            </w:r>
            <w:proofErr w:type="spellEnd"/>
            <w:r w:rsidRPr="00050150">
              <w:rPr>
                <w:rtl/>
              </w:rPr>
              <w:t xml:space="preserve">, יחס ההלכה כלפי אחינו שפרשו מדרך התורה והמצוות",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א (</w:t>
            </w:r>
            <w:proofErr w:type="spellStart"/>
            <w:r w:rsidRPr="00050150">
              <w:rPr>
                <w:rtl/>
              </w:rPr>
              <w:t>תש"ם</w:t>
            </w:r>
            <w:proofErr w:type="spellEnd"/>
            <w:r w:rsidRPr="00050150">
              <w:rPr>
                <w:rtl/>
              </w:rPr>
              <w:t xml:space="preserve">), עמ' 311 -318; </w:t>
            </w:r>
            <w:proofErr w:type="spellStart"/>
            <w:r w:rsidRPr="00050150">
              <w:rPr>
                <w:rtl/>
              </w:rPr>
              <w:t>תחומין</w:t>
            </w:r>
            <w:proofErr w:type="spellEnd"/>
            <w:r w:rsidRPr="00050150">
              <w:rPr>
                <w:rtl/>
              </w:rPr>
              <w:t xml:space="preserve"> ב (תשמ"א), עמ' 267-271.</w:t>
            </w:r>
          </w:p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המאה העשרים; הפולמוס סביב "תינוק שנשבה".</w:t>
            </w:r>
          </w:p>
        </w:tc>
        <w:tc>
          <w:tcPr>
            <w:tcW w:w="4386" w:type="dxa"/>
            <w:shd w:val="clear" w:color="auto" w:fill="auto"/>
          </w:tcPr>
          <w:p w:rsidR="001B56F5" w:rsidRDefault="001B56F5" w:rsidP="002A7DD9">
            <w:pPr>
              <w:shd w:val="clear" w:color="auto" w:fill="FFFFFF"/>
              <w:spacing w:before="100" w:beforeAutospacing="1" w:after="24" w:line="276" w:lineRule="auto"/>
              <w:ind w:right="384"/>
              <w:rPr>
                <w:color w:val="222222"/>
                <w:rtl/>
              </w:rPr>
            </w:pPr>
            <w:r w:rsidRPr="00050150">
              <w:rPr>
                <w:color w:val="222222"/>
                <w:rtl/>
              </w:rPr>
              <w:t>הרב אברהם וסרמן</w:t>
            </w:r>
            <w:r w:rsidRPr="00050150">
              <w:rPr>
                <w:color w:val="222222"/>
              </w:rPr>
              <w:t>,</w:t>
            </w:r>
            <w:r w:rsidRPr="00050150">
              <w:rPr>
                <w:b/>
                <w:bCs/>
                <w:color w:val="222222"/>
                <w:rtl/>
              </w:rPr>
              <w:t xml:space="preserve"> "</w:t>
            </w:r>
            <w:r w:rsidRPr="00050150">
              <w:rPr>
                <w:color w:val="222222"/>
                <w:rtl/>
              </w:rPr>
              <w:t xml:space="preserve">תינוק שנשבה – המושג והשלכותיו ההלכתיות", </w:t>
            </w:r>
            <w:proofErr w:type="spellStart"/>
            <w:r w:rsidRPr="00050150">
              <w:rPr>
                <w:color w:val="222222"/>
                <w:rtl/>
              </w:rPr>
              <w:t>צהר</w:t>
            </w:r>
            <w:proofErr w:type="spellEnd"/>
            <w:r w:rsidRPr="00050150">
              <w:rPr>
                <w:color w:val="222222"/>
              </w:rPr>
              <w:t xml:space="preserve">, </w:t>
            </w:r>
            <w:r w:rsidRPr="00050150">
              <w:rPr>
                <w:color w:val="222222"/>
                <w:rtl/>
              </w:rPr>
              <w:t>ד, עמ' 31–41</w:t>
            </w:r>
            <w:r>
              <w:rPr>
                <w:rFonts w:hint="cs"/>
                <w:color w:val="222222"/>
                <w:rtl/>
              </w:rPr>
              <w:t>.</w:t>
            </w:r>
          </w:p>
          <w:p w:rsidR="001B56F5" w:rsidRPr="00767ACB" w:rsidRDefault="001B56F5" w:rsidP="002A7DD9">
            <w:pPr>
              <w:shd w:val="clear" w:color="auto" w:fill="FFFFFF"/>
              <w:spacing w:before="100" w:beforeAutospacing="1" w:after="24" w:line="276" w:lineRule="auto"/>
              <w:ind w:right="384"/>
              <w:rPr>
                <w:color w:val="FF0000"/>
              </w:rPr>
            </w:pPr>
            <w:r w:rsidRPr="00767ACB">
              <w:rPr>
                <w:rFonts w:hint="cs"/>
                <w:color w:val="FF0000"/>
                <w:rtl/>
              </w:rPr>
              <w:t xml:space="preserve">תמר </w:t>
            </w:r>
            <w:proofErr w:type="spellStart"/>
            <w:r w:rsidRPr="00767ACB">
              <w:rPr>
                <w:rFonts w:hint="cs"/>
                <w:color w:val="FF0000"/>
                <w:rtl/>
              </w:rPr>
              <w:t>אלאור</w:t>
            </w:r>
            <w:proofErr w:type="spellEnd"/>
            <w:r w:rsidRPr="00767ACB">
              <w:rPr>
                <w:rFonts w:hint="cs"/>
                <w:color w:val="FF0000"/>
                <w:rtl/>
              </w:rPr>
              <w:t xml:space="preserve">, ""תינוקות שנישבו": תפיסת החילוניות בחברה החרדית", </w:t>
            </w:r>
            <w:r w:rsidRPr="00767ACB">
              <w:rPr>
                <w:color w:val="FF0000"/>
                <w:rtl/>
              </w:rPr>
              <w:t>מגמות; כתב עת למדעי ההתנהגות לד, 1 (</w:t>
            </w:r>
            <w:proofErr w:type="spellStart"/>
            <w:r w:rsidRPr="00767ACB">
              <w:rPr>
                <w:color w:val="FF0000"/>
                <w:rtl/>
              </w:rPr>
              <w:t>תשנב</w:t>
            </w:r>
            <w:proofErr w:type="spellEnd"/>
            <w:r w:rsidRPr="00767ACB">
              <w:rPr>
                <w:color w:val="FF0000"/>
                <w:rtl/>
              </w:rPr>
              <w:t>) 104-121</w:t>
            </w:r>
            <w:r w:rsidRPr="00767ACB">
              <w:rPr>
                <w:rFonts w:hint="cs"/>
                <w:color w:val="FF0000"/>
                <w:rtl/>
              </w:rPr>
              <w:t xml:space="preserve">. </w:t>
            </w:r>
          </w:p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 xml:space="preserve">פסיקה יוצאת דופן – 1. הרב קוק. 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11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פסיקה יוצאת דופן: 2. הרב חיים דוד הלוי – בין שמרנות לחידוש.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after="240" w:line="276" w:lineRule="auto"/>
              <w:rPr>
                <w:b/>
                <w:bCs/>
                <w:rtl/>
              </w:rPr>
            </w:pPr>
            <w:r w:rsidRPr="00050150">
              <w:rPr>
                <w:rtl/>
              </w:rPr>
              <w:t xml:space="preserve">אברהם חיים </w:t>
            </w:r>
            <w:proofErr w:type="spellStart"/>
            <w:r w:rsidRPr="00050150">
              <w:rPr>
                <w:rtl/>
              </w:rPr>
              <w:t>בורגנסקי</w:t>
            </w:r>
            <w:proofErr w:type="spellEnd"/>
            <w:r w:rsidRPr="00050150">
              <w:rPr>
                <w:rtl/>
              </w:rPr>
              <w:t>, "יחסו ההלכתי של הרב חיים דוד הלוי לחילונים", יהדות של חיים, ירושלים, תשס"ז, עמ' 43-68.</w:t>
            </w:r>
          </w:p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widowControl w:val="0"/>
              <w:spacing w:line="360" w:lineRule="auto"/>
              <w:jc w:val="both"/>
              <w:rPr>
                <w:b/>
                <w:bCs/>
                <w:rtl/>
                <w:lang w:eastAsia="he-IL"/>
              </w:rPr>
            </w:pPr>
            <w:r w:rsidRPr="00050150">
              <w:rPr>
                <w:rtl/>
                <w:lang w:eastAsia="he-IL"/>
              </w:rPr>
              <w:t>ומה עושים עם קרובי המשפחה?</w:t>
            </w:r>
          </w:p>
          <w:p w:rsidR="001B56F5" w:rsidRPr="00050150" w:rsidRDefault="001B56F5" w:rsidP="002A7DD9">
            <w:pPr>
              <w:spacing w:line="360" w:lineRule="auto"/>
            </w:pP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276" w:lineRule="auto"/>
            </w:pP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lastRenderedPageBreak/>
              <w:t>13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"הוכח תוכיח"; "לפני עוור"; "הלעיטהו לרשע"; על היחס ההלכתי-פוליטי לחילוניות במדינה.</w:t>
            </w:r>
          </w:p>
        </w:tc>
        <w:tc>
          <w:tcPr>
            <w:tcW w:w="4386" w:type="dxa"/>
            <w:shd w:val="clear" w:color="auto" w:fill="auto"/>
          </w:tcPr>
          <w:p w:rsidR="001B56F5" w:rsidRDefault="001B56F5" w:rsidP="002A7DD9">
            <w:pPr>
              <w:spacing w:line="276" w:lineRule="auto"/>
              <w:rPr>
                <w:rtl/>
              </w:rPr>
            </w:pPr>
            <w:r w:rsidRPr="00050150">
              <w:rPr>
                <w:rtl/>
              </w:rPr>
              <w:t xml:space="preserve">הרב יהודה </w:t>
            </w:r>
            <w:proofErr w:type="spellStart"/>
            <w:r w:rsidRPr="00050150">
              <w:rPr>
                <w:rtl/>
              </w:rPr>
              <w:t>עמיטל</w:t>
            </w:r>
            <w:proofErr w:type="spellEnd"/>
            <w:r w:rsidRPr="00050150">
              <w:rPr>
                <w:rtl/>
              </w:rPr>
              <w:t>, "</w:t>
            </w:r>
            <w:proofErr w:type="spellStart"/>
            <w:r w:rsidRPr="00050150">
              <w:rPr>
                <w:rtl/>
              </w:rPr>
              <w:t>בענין</w:t>
            </w:r>
            <w:proofErr w:type="spellEnd"/>
            <w:r w:rsidRPr="00050150">
              <w:rPr>
                <w:rtl/>
              </w:rPr>
              <w:t xml:space="preserve"> מצוות תוכחה", ספר היובל לרב מרדכי </w:t>
            </w:r>
            <w:proofErr w:type="spellStart"/>
            <w:r w:rsidRPr="00050150">
              <w:rPr>
                <w:rtl/>
              </w:rPr>
              <w:t>ברויאר</w:t>
            </w:r>
            <w:proofErr w:type="spellEnd"/>
            <w:r w:rsidRPr="00050150">
              <w:rPr>
                <w:rtl/>
              </w:rPr>
              <w:t xml:space="preserve"> ב', ירושלים, תשנ"ב, עמ' 509-533.</w:t>
            </w:r>
          </w:p>
          <w:p w:rsidR="001B56F5" w:rsidRPr="00767ACB" w:rsidRDefault="001B56F5" w:rsidP="002A7DD9">
            <w:pPr>
              <w:spacing w:line="276" w:lineRule="auto"/>
              <w:rPr>
                <w:color w:val="FF0000"/>
              </w:rPr>
            </w:pPr>
            <w:r w:rsidRPr="00767ACB">
              <w:rPr>
                <w:rFonts w:hint="cs"/>
                <w:color w:val="FF0000"/>
                <w:rtl/>
              </w:rPr>
              <w:t xml:space="preserve">דניאל </w:t>
            </w:r>
            <w:proofErr w:type="spellStart"/>
            <w:r w:rsidRPr="00767ACB">
              <w:rPr>
                <w:rFonts w:hint="cs"/>
                <w:color w:val="FF0000"/>
                <w:rtl/>
              </w:rPr>
              <w:t>סטטמן</w:t>
            </w:r>
            <w:proofErr w:type="spellEnd"/>
            <w:r w:rsidRPr="00767ACB">
              <w:rPr>
                <w:rFonts w:hint="cs"/>
                <w:color w:val="FF0000"/>
                <w:rtl/>
              </w:rPr>
              <w:t>, "</w:t>
            </w:r>
            <w:r w:rsidRPr="00767ACB">
              <w:rPr>
                <w:color w:val="FF0000"/>
                <w:rtl/>
              </w:rPr>
              <w:t>חופש הדת, חופש מדת והגנה על רגשות דתיים</w:t>
            </w:r>
            <w:r w:rsidRPr="00767ACB">
              <w:rPr>
                <w:rFonts w:hint="cs"/>
                <w:color w:val="FF0000"/>
                <w:rtl/>
              </w:rPr>
              <w:t xml:space="preserve">", </w:t>
            </w:r>
            <w:r w:rsidRPr="00767ACB">
              <w:rPr>
                <w:color w:val="FF0000"/>
                <w:rtl/>
              </w:rPr>
              <w:t xml:space="preserve">‬מחקרי משפט </w:t>
            </w:r>
            <w:proofErr w:type="spellStart"/>
            <w:r w:rsidRPr="00767ACB">
              <w:rPr>
                <w:color w:val="FF0000"/>
                <w:rtl/>
              </w:rPr>
              <w:t>כא</w:t>
            </w:r>
            <w:proofErr w:type="spellEnd"/>
            <w:r w:rsidRPr="00767ACB">
              <w:rPr>
                <w:color w:val="FF0000"/>
                <w:rtl/>
              </w:rPr>
              <w:t>, 1 (</w:t>
            </w:r>
            <w:proofErr w:type="spellStart"/>
            <w:r w:rsidRPr="00767ACB">
              <w:rPr>
                <w:color w:val="FF0000"/>
                <w:rtl/>
              </w:rPr>
              <w:t>תשסד</w:t>
            </w:r>
            <w:proofErr w:type="spellEnd"/>
            <w:r w:rsidRPr="00767ACB">
              <w:rPr>
                <w:color w:val="FF0000"/>
                <w:rtl/>
              </w:rPr>
              <w:t>) 5-87</w:t>
            </w:r>
            <w:r w:rsidRPr="00767ACB">
              <w:rPr>
                <w:rFonts w:hint="cs"/>
                <w:color w:val="FF0000"/>
                <w:rtl/>
              </w:rPr>
              <w:t>.</w:t>
            </w:r>
          </w:p>
        </w:tc>
      </w:tr>
      <w:tr w:rsidR="001B56F5" w:rsidRPr="00050150" w:rsidTr="002A7DD9">
        <w:tc>
          <w:tcPr>
            <w:tcW w:w="1349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  <w:rPr>
                <w:rtl/>
              </w:rPr>
            </w:pPr>
            <w:r w:rsidRPr="00050150">
              <w:rPr>
                <w:rtl/>
              </w:rPr>
              <w:t>14</w:t>
            </w:r>
          </w:p>
        </w:tc>
        <w:tc>
          <w:tcPr>
            <w:tcW w:w="2178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  <w:r w:rsidRPr="00050150">
              <w:rPr>
                <w:rtl/>
              </w:rPr>
              <w:t>סיכום</w:t>
            </w:r>
          </w:p>
        </w:tc>
        <w:tc>
          <w:tcPr>
            <w:tcW w:w="4386" w:type="dxa"/>
            <w:shd w:val="clear" w:color="auto" w:fill="auto"/>
          </w:tcPr>
          <w:p w:rsidR="001B56F5" w:rsidRPr="00050150" w:rsidRDefault="001B56F5" w:rsidP="002A7DD9">
            <w:pPr>
              <w:spacing w:line="360" w:lineRule="auto"/>
            </w:pPr>
          </w:p>
        </w:tc>
      </w:tr>
    </w:tbl>
    <w:p w:rsidR="001B56F5" w:rsidRDefault="001B56F5" w:rsidP="001B56F5">
      <w:pPr>
        <w:ind w:left="26"/>
        <w:rPr>
          <w:rtl/>
        </w:rPr>
      </w:pPr>
    </w:p>
    <w:p w:rsidR="001B56F5" w:rsidRDefault="001B56F5" w:rsidP="001B56F5">
      <w:pPr>
        <w:ind w:left="26"/>
        <w:rPr>
          <w:rtl/>
        </w:rPr>
      </w:pPr>
      <w:r>
        <w:rPr>
          <w:rFonts w:hint="cs"/>
          <w:rtl/>
        </w:rPr>
        <w:t>סמסטר ב:</w:t>
      </w: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154"/>
        <w:gridCol w:w="1949"/>
      </w:tblGrid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קריאה נדרשת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בין התורה שבכתב לתורה שבעל פה: מקומה של </w:t>
            </w: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בבית ובחברה בתורה שבכתב. 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7C12EB">
              <w:rPr>
                <w:rFonts w:ascii="Arial" w:hAnsi="Arial" w:cs="Arial"/>
                <w:rtl/>
              </w:rPr>
              <w:t>מהפכת התורה שבעל פה.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מ' </w:t>
            </w:r>
            <w:proofErr w:type="spellStart"/>
            <w:r w:rsidRPr="00C848C3">
              <w:rPr>
                <w:rFonts w:ascii="Arial" w:hAnsi="Arial" w:cs="Arial" w:hint="cs"/>
                <w:rtl/>
              </w:rPr>
              <w:t>סטלאו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>, "זכר ונקבה בראוה? מגדר ויהדות חז"ל", בתוך: רצף ותמורה: יהודים ויהדות ברץ ישראל הביזנטית-נוצרית (עורך: י' ל' לוין), ירושלים תשס"ד עמ' 504-486.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8C0EC0">
              <w:rPr>
                <w:rFonts w:ascii="Arial" w:hAnsi="Arial" w:cs="Arial"/>
                <w:rtl/>
              </w:rPr>
              <w:t>3</w:t>
            </w:r>
            <w:r>
              <w:rPr>
                <w:rFonts w:ascii="Arial" w:hAnsi="Arial" w:cs="Arial" w:hint="cs"/>
                <w:rtl/>
              </w:rPr>
              <w:t>- 4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 xml:space="preserve">"כל כבודה בת מלך פנימה" </w:t>
            </w:r>
            <w:r w:rsidRPr="00C848C3">
              <w:rPr>
                <w:rFonts w:ascii="Arial" w:hAnsi="Arial" w:cs="Arial"/>
                <w:rtl/>
              </w:rPr>
              <w:t>–</w:t>
            </w:r>
            <w:r w:rsidRPr="00C848C3">
              <w:rPr>
                <w:rFonts w:ascii="Arial" w:hAnsi="Arial" w:cs="Arial" w:hint="cs"/>
                <w:rtl/>
              </w:rPr>
              <w:t xml:space="preserve"> להתגלגלותו של הכלל מן התלמוד עד פוסקי ימינו. </w:t>
            </w:r>
          </w:p>
        </w:tc>
        <w:tc>
          <w:tcPr>
            <w:tcW w:w="1949" w:type="dxa"/>
            <w:shd w:val="clear" w:color="auto" w:fill="auto"/>
          </w:tcPr>
          <w:p w:rsidR="001B56F5" w:rsidRDefault="001B56F5" w:rsidP="002A7DD9">
            <w:pPr>
              <w:spacing w:after="240"/>
              <w:rPr>
                <w:rFonts w:ascii="Arial" w:hAnsi="Arial" w:cs="Arial"/>
                <w:rtl/>
              </w:rPr>
            </w:pPr>
            <w:r w:rsidRPr="00C848C3">
              <w:rPr>
                <w:rFonts w:ascii="Arial" w:hAnsi="Arial" w:cs="Arial"/>
                <w:rtl/>
              </w:rPr>
              <w:t>אברהם גרוסמן, חסידות ומורדות: נשים יהודיות באירופה בימי הביניים, ירושלים, תשס"א.</w:t>
            </w:r>
          </w:p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עמ' 174 - 209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5 - 6</w:t>
            </w:r>
          </w:p>
        </w:tc>
        <w:tc>
          <w:tcPr>
            <w:tcW w:w="2154" w:type="dxa"/>
            <w:shd w:val="clear" w:color="auto" w:fill="auto"/>
          </w:tcPr>
          <w:p w:rsidR="001B56F5" w:rsidRPr="0032089A" w:rsidRDefault="001B56F5" w:rsidP="002A7DD9">
            <w:pPr>
              <w:spacing w:after="240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כממלאת תפקידים ציבוריים: </w:t>
            </w:r>
            <w:r w:rsidRPr="0032089A">
              <w:rPr>
                <w:rFonts w:ascii="Arial" w:hAnsi="Arial" w:cs="Arial" w:hint="cs"/>
                <w:rtl/>
              </w:rPr>
              <w:t>פולמוס ההשתתפות בבחירות.</w:t>
            </w:r>
          </w:p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 xml:space="preserve">הרב חיים דוד הלוי, "זכות נשים לבחור </w:t>
            </w:r>
            <w:proofErr w:type="spellStart"/>
            <w:r w:rsidRPr="00C848C3">
              <w:rPr>
                <w:rFonts w:ascii="Arial" w:hAnsi="Arial" w:cs="Arial"/>
                <w:rtl/>
              </w:rPr>
              <w:t>ולהבחר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", </w:t>
            </w:r>
            <w:proofErr w:type="spellStart"/>
            <w:r w:rsidRPr="00C848C3">
              <w:rPr>
                <w:rFonts w:ascii="Arial" w:hAnsi="Arial" w:cs="Arial"/>
                <w:rtl/>
              </w:rPr>
              <w:t>תחומין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 י' (תשמ"ט), עמ' 118-123.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 w:hint="cs"/>
                <w:rtl/>
              </w:rPr>
              <w:t>נשים בצבא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 xml:space="preserve">הרב יהודה שביב, "נשים במלחמת מצוה", </w:t>
            </w:r>
            <w:proofErr w:type="spellStart"/>
            <w:r w:rsidRPr="00C848C3">
              <w:rPr>
                <w:rFonts w:ascii="Arial" w:hAnsi="Arial" w:cs="Arial"/>
                <w:rtl/>
              </w:rPr>
              <w:t>תחומין</w:t>
            </w:r>
            <w:proofErr w:type="spellEnd"/>
            <w:r w:rsidRPr="00C848C3">
              <w:rPr>
                <w:rFonts w:ascii="Arial" w:hAnsi="Arial" w:cs="Arial"/>
                <w:rtl/>
              </w:rPr>
              <w:t xml:space="preserve"> ד' (תשמ"ד), עמ' 79-89.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8 - 9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48C3">
              <w:rPr>
                <w:rFonts w:ascii="Arial" w:hAnsi="Arial" w:cs="Arial" w:hint="cs"/>
                <w:rtl/>
              </w:rPr>
              <w:t>האשה</w:t>
            </w:r>
            <w:proofErr w:type="spellEnd"/>
            <w:r w:rsidRPr="00C848C3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בבית הכנסת</w:t>
            </w:r>
            <w:r w:rsidRPr="00C848C3">
              <w:rPr>
                <w:rFonts w:ascii="Arial" w:hAnsi="Arial" w:cs="Arial" w:hint="cs"/>
                <w:rtl/>
              </w:rPr>
              <w:t xml:space="preserve">: </w:t>
            </w:r>
            <w:r>
              <w:rPr>
                <w:rFonts w:ascii="Arial" w:hAnsi="Arial" w:cs="Arial" w:hint="cs"/>
                <w:rtl/>
              </w:rPr>
              <w:t>השתתפות במניין. אמירת קדיש.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>דוד שפרבר, הנשים המפללות לעצמן, רמת גן, תשס"ב, עמ' 16-5.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10 - 11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קריאה בתורה. מנייני נשים.</w:t>
            </w:r>
          </w:p>
        </w:tc>
        <w:tc>
          <w:tcPr>
            <w:tcW w:w="1949" w:type="dxa"/>
            <w:shd w:val="clear" w:color="auto" w:fill="auto"/>
          </w:tcPr>
          <w:p w:rsidR="001B56F5" w:rsidRPr="00D94E59" w:rsidRDefault="001B56F5" w:rsidP="002A7DD9">
            <w:pPr>
              <w:spacing w:after="240"/>
              <w:rPr>
                <w:rFonts w:ascii="Arial" w:hAnsi="Arial" w:cs="Arial"/>
              </w:rPr>
            </w:pPr>
            <w:r w:rsidRPr="00C848C3">
              <w:rPr>
                <w:rFonts w:ascii="Arial" w:hAnsi="Arial" w:cs="Arial"/>
                <w:rtl/>
              </w:rPr>
              <w:t>דניאל שפרבר, דרכה של הלכה, ירושלים, תשס"ז, עמ' 17-50; 102-127.</w:t>
            </w: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12 - 13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היחס </w:t>
            </w:r>
            <w:proofErr w:type="spellStart"/>
            <w:r>
              <w:rPr>
                <w:rFonts w:ascii="Arial" w:hAnsi="Arial" w:cs="Arial" w:hint="cs"/>
                <w:rtl/>
              </w:rPr>
              <w:t>ללהט"ב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56F5" w:rsidRPr="008C0EC0" w:rsidTr="002A7DD9">
        <w:tc>
          <w:tcPr>
            <w:tcW w:w="1336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2154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סיכום</w:t>
            </w:r>
          </w:p>
        </w:tc>
        <w:tc>
          <w:tcPr>
            <w:tcW w:w="1949" w:type="dxa"/>
            <w:shd w:val="clear" w:color="auto" w:fill="auto"/>
          </w:tcPr>
          <w:p w:rsidR="001B56F5" w:rsidRPr="008C0EC0" w:rsidRDefault="001B56F5" w:rsidP="002A7D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56F5" w:rsidRPr="00050150" w:rsidRDefault="001B56F5" w:rsidP="001B56F5">
      <w:pPr>
        <w:ind w:left="26"/>
      </w:pPr>
    </w:p>
    <w:p w:rsidR="001B56F5" w:rsidRDefault="001B56F5" w:rsidP="001B56F5">
      <w:pPr>
        <w:rPr>
          <w:rFonts w:ascii="Arial" w:hAnsi="Arial" w:cs="Arial"/>
          <w:rtl/>
        </w:rPr>
      </w:pPr>
    </w:p>
    <w:p w:rsidR="001B56F5" w:rsidRDefault="001B56F5" w:rsidP="001B56F5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1B56F5" w:rsidRDefault="001B56F5" w:rsidP="001B56F5">
      <w:pPr>
        <w:ind w:left="26"/>
        <w:rPr>
          <w:rFonts w:ascii="Arial" w:hAnsi="Arial" w:cs="Arial"/>
          <w:b/>
          <w:bCs/>
          <w:rtl/>
        </w:rPr>
      </w:pPr>
    </w:p>
    <w:p w:rsidR="001B56F5" w:rsidRDefault="001B56F5" w:rsidP="001B56F5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אין</w:t>
      </w:r>
    </w:p>
    <w:p w:rsidR="001B56F5" w:rsidRDefault="001B56F5" w:rsidP="001B56F5">
      <w:pPr>
        <w:rPr>
          <w:rFonts w:ascii="Arial" w:hAnsi="Arial" w:cs="Arial"/>
          <w:b/>
          <w:bCs/>
          <w:rtl/>
        </w:rPr>
      </w:pPr>
    </w:p>
    <w:p w:rsidR="001B56F5" w:rsidRDefault="001B56F5" w:rsidP="001B56F5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>
        <w:rPr>
          <w:rFonts w:ascii="Arial" w:hAnsi="Arial" w:cs="Arial" w:hint="cs"/>
          <w:b/>
          <w:bCs/>
          <w:rtl/>
        </w:rPr>
        <w:t xml:space="preserve"> נוכחות, קריאה נדרשת, כתיבת עבודה סמינריונית.</w:t>
      </w:r>
      <w:r w:rsidR="00A73000">
        <w:rPr>
          <w:rFonts w:ascii="Arial" w:hAnsi="Arial" w:cs="Arial" w:hint="cs"/>
          <w:b/>
          <w:bCs/>
          <w:rtl/>
        </w:rPr>
        <w:t xml:space="preserve"> לעת עתה נראה כי ההרצאות יועברו בזום ויוקלטו, בשל אלה המנועים מלהגיע לאוניברסיטה בימי הקורונה.</w:t>
      </w:r>
      <w:bookmarkStart w:id="0" w:name="_GoBack"/>
      <w:bookmarkEnd w:id="0"/>
    </w:p>
    <w:p w:rsidR="001B56F5" w:rsidRPr="00E75758" w:rsidRDefault="001B56F5" w:rsidP="001B56F5">
      <w:pPr>
        <w:ind w:left="26"/>
        <w:rPr>
          <w:rFonts w:ascii="Arial" w:hAnsi="Arial" w:cs="Arial"/>
          <w:rtl/>
        </w:rPr>
      </w:pPr>
    </w:p>
    <w:p w:rsidR="001B56F5" w:rsidRPr="003C070F" w:rsidRDefault="001B56F5" w:rsidP="001B56F5">
      <w:pPr>
        <w:jc w:val="both"/>
        <w:rPr>
          <w:sz w:val="28"/>
          <w:szCs w:val="28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עבודה סמינריונית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100%</w:t>
      </w:r>
    </w:p>
    <w:p w:rsidR="001B56F5" w:rsidRDefault="001B56F5" w:rsidP="001B56F5">
      <w:pPr>
        <w:ind w:left="226" w:firstLine="26"/>
        <w:rPr>
          <w:rFonts w:ascii="Arial" w:hAnsi="Arial" w:cs="Arial"/>
          <w:b/>
          <w:bCs/>
          <w:sz w:val="26"/>
          <w:szCs w:val="26"/>
          <w:rtl/>
        </w:rPr>
      </w:pPr>
    </w:p>
    <w:p w:rsidR="001B56F5" w:rsidRDefault="001B56F5" w:rsidP="001B56F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1B56F5" w:rsidRDefault="001B56F5" w:rsidP="001B56F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חובה:</w:t>
      </w:r>
      <w:r>
        <w:rPr>
          <w:rFonts w:ascii="Arial" w:hAnsi="Arial" w:cs="Arial" w:hint="cs"/>
          <w:rtl/>
        </w:rPr>
        <w:t xml:space="preserve"> ראה למעלה, בטבלה.</w:t>
      </w:r>
    </w:p>
    <w:p w:rsidR="001B56F5" w:rsidRDefault="001B56F5" w:rsidP="001B56F5">
      <w:pPr>
        <w:spacing w:line="360" w:lineRule="auto"/>
        <w:ind w:left="26"/>
        <w:rPr>
          <w:rFonts w:ascii="Arial" w:hAnsi="Arial" w:cs="Arial"/>
          <w:rtl/>
        </w:rPr>
      </w:pPr>
    </w:p>
    <w:p w:rsidR="001B56F5" w:rsidRDefault="001B56F5" w:rsidP="001B56F5">
      <w:pPr>
        <w:spacing w:line="360" w:lineRule="auto"/>
        <w:ind w:left="26"/>
        <w:rPr>
          <w:rFonts w:ascii="Arial" w:hAnsi="Arial" w:cs="Arial"/>
        </w:rPr>
      </w:pPr>
      <w:r w:rsidRPr="00D94E59">
        <w:rPr>
          <w:rFonts w:ascii="Arial" w:hAnsi="Arial" w:cs="Arial" w:hint="cs"/>
          <w:b/>
          <w:bCs/>
          <w:rtl/>
        </w:rPr>
        <w:t>רשות</w:t>
      </w:r>
      <w:r>
        <w:rPr>
          <w:rFonts w:ascii="Arial" w:hAnsi="Arial" w:cs="Arial" w:hint="cs"/>
          <w:rtl/>
        </w:rPr>
        <w:t>:</w:t>
      </w:r>
    </w:p>
    <w:p w:rsidR="001B56F5" w:rsidRPr="00BB4732" w:rsidRDefault="001B56F5" w:rsidP="001B56F5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לסמסטר הראשון:</w:t>
      </w:r>
    </w:p>
    <w:p w:rsidR="001B56F5" w:rsidRPr="005B4BA8" w:rsidRDefault="001B56F5" w:rsidP="001B56F5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 w:hint="cs"/>
          <w:rtl/>
        </w:rPr>
        <w:t xml:space="preserve">אברהם חיים </w:t>
      </w:r>
      <w:proofErr w:type="spellStart"/>
      <w:r>
        <w:rPr>
          <w:rFonts w:ascii="Arial" w:hAnsi="Arial" w:cs="Arial" w:hint="cs"/>
          <w:rtl/>
        </w:rPr>
        <w:t>בורגנסקי</w:t>
      </w:r>
      <w:proofErr w:type="spellEnd"/>
      <w:r w:rsidRPr="005B4BA8">
        <w:rPr>
          <w:rFonts w:ascii="Arial" w:hAnsi="Arial" w:cs="Arial"/>
          <w:rtl/>
        </w:rPr>
        <w:t>, "'לא תחנם' – לגלגולו של ציווי", תרבות יהודית בעין הסערה, עין צורים, תשס"ב, עמ' עמ' 537-568.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יעקב </w:t>
      </w:r>
      <w:proofErr w:type="spellStart"/>
      <w:r w:rsidRPr="005B4BA8">
        <w:rPr>
          <w:rFonts w:ascii="Arial" w:hAnsi="Arial" w:cs="Arial"/>
          <w:rtl/>
        </w:rPr>
        <w:t>בלידשטיין</w:t>
      </w:r>
      <w:proofErr w:type="spellEnd"/>
      <w:r w:rsidRPr="005B4BA8">
        <w:rPr>
          <w:rFonts w:ascii="Arial" w:hAnsi="Arial" w:cs="Arial"/>
          <w:rtl/>
        </w:rPr>
        <w:t>, עקרונות מדיניים במשנת הרמב"ם, רמת גן, תשס"א, עמ' 230-263.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 הרב יצחק אייזיק הלוי הרצוג, "זכויות המיעוטים לפי ההלכה",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ב (תשמ"א), עמ' 169-179.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 צבי זוהר ואבי שגיא, מעגלי זהות יהודית בספרות ההלכתית, תל אביב, 2000.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הרב שאול ישראלי</w:t>
      </w:r>
      <w:r w:rsidRPr="005B4BA8">
        <w:rPr>
          <w:rFonts w:ascii="Arial" w:hAnsi="Arial" w:cs="Arial"/>
          <w:rtl/>
        </w:rPr>
        <w:t xml:space="preserve">, עמוד הימיני, ירושלים, תשנ"ב, עמ' </w:t>
      </w:r>
      <w:proofErr w:type="spellStart"/>
      <w:r w:rsidRPr="005B4BA8">
        <w:rPr>
          <w:rFonts w:ascii="Arial" w:hAnsi="Arial" w:cs="Arial"/>
          <w:rtl/>
        </w:rPr>
        <w:t>קכ-קמד</w:t>
      </w:r>
      <w:proofErr w:type="spellEnd"/>
      <w:r w:rsidRPr="005B4BA8">
        <w:rPr>
          <w:rFonts w:ascii="Arial" w:hAnsi="Arial" w:cs="Arial"/>
          <w:rtl/>
        </w:rPr>
        <w:t>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>הרב יעקב מדן, "פרשת עמלק: מצוות ה' ומוסר – הילכו יחדיו?", האחר, תל אביב 2001, עמ' 367-401.</w:t>
      </w:r>
    </w:p>
    <w:p w:rsidR="001B56F5" w:rsidRPr="005B4BA8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t xml:space="preserve">הרב יהודה </w:t>
      </w:r>
      <w:proofErr w:type="spellStart"/>
      <w:r w:rsidRPr="005B4BA8">
        <w:rPr>
          <w:rFonts w:ascii="Arial" w:hAnsi="Arial" w:cs="Arial"/>
          <w:rtl/>
        </w:rPr>
        <w:t>עמיטל</w:t>
      </w:r>
      <w:proofErr w:type="spellEnd"/>
      <w:r w:rsidRPr="005B4BA8">
        <w:rPr>
          <w:rFonts w:ascii="Arial" w:hAnsi="Arial" w:cs="Arial"/>
          <w:rtl/>
        </w:rPr>
        <w:t xml:space="preserve">, "מעמדו של היהודי החילוני בימינו", שנה בשנה, תשמ"ט, עמ' 337-349. </w:t>
      </w:r>
    </w:p>
    <w:p w:rsidR="001B56F5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5B4BA8">
        <w:rPr>
          <w:rFonts w:ascii="Arial" w:hAnsi="Arial" w:cs="Arial"/>
          <w:rtl/>
        </w:rPr>
        <w:lastRenderedPageBreak/>
        <w:t xml:space="preserve">הרב אברהם </w:t>
      </w:r>
      <w:proofErr w:type="spellStart"/>
      <w:r w:rsidRPr="005B4BA8">
        <w:rPr>
          <w:rFonts w:ascii="Arial" w:hAnsi="Arial" w:cs="Arial"/>
          <w:rtl/>
        </w:rPr>
        <w:t>שרמן</w:t>
      </w:r>
      <w:proofErr w:type="spellEnd"/>
      <w:r w:rsidRPr="005B4BA8">
        <w:rPr>
          <w:rFonts w:ascii="Arial" w:hAnsi="Arial" w:cs="Arial"/>
          <w:rtl/>
        </w:rPr>
        <w:t xml:space="preserve">, יחס ההלכה כלפי אחינו שפרשו מדרך התורה והמצוות",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א (</w:t>
      </w:r>
      <w:proofErr w:type="spellStart"/>
      <w:r w:rsidRPr="005B4BA8">
        <w:rPr>
          <w:rFonts w:ascii="Arial" w:hAnsi="Arial" w:cs="Arial"/>
          <w:rtl/>
        </w:rPr>
        <w:t>תש"ם</w:t>
      </w:r>
      <w:proofErr w:type="spellEnd"/>
      <w:r w:rsidRPr="005B4BA8">
        <w:rPr>
          <w:rFonts w:ascii="Arial" w:hAnsi="Arial" w:cs="Arial"/>
          <w:rtl/>
        </w:rPr>
        <w:t xml:space="preserve">), עמ' 311 -318; </w:t>
      </w:r>
      <w:proofErr w:type="spellStart"/>
      <w:r w:rsidRPr="005B4BA8">
        <w:rPr>
          <w:rFonts w:ascii="Arial" w:hAnsi="Arial" w:cs="Arial"/>
          <w:rtl/>
        </w:rPr>
        <w:t>תחומין</w:t>
      </w:r>
      <w:proofErr w:type="spellEnd"/>
      <w:r w:rsidRPr="005B4BA8">
        <w:rPr>
          <w:rFonts w:ascii="Arial" w:hAnsi="Arial" w:cs="Arial"/>
          <w:rtl/>
        </w:rPr>
        <w:t xml:space="preserve"> ב (תשמ"א), עמ' 267-271.</w:t>
      </w:r>
    </w:p>
    <w:p w:rsidR="001B56F5" w:rsidRDefault="001B56F5" w:rsidP="001B56F5">
      <w:pPr>
        <w:rPr>
          <w:rFonts w:ascii="Arial" w:hAnsi="Arial" w:cs="Arial"/>
          <w:b/>
          <w:bCs/>
          <w:rtl/>
        </w:rPr>
      </w:pPr>
    </w:p>
    <w:p w:rsidR="001B56F5" w:rsidRPr="00D94E59" w:rsidRDefault="001B56F5" w:rsidP="001B56F5">
      <w:pPr>
        <w:rPr>
          <w:b/>
          <w:bCs/>
          <w:sz w:val="28"/>
          <w:szCs w:val="28"/>
          <w:rtl/>
        </w:rPr>
      </w:pPr>
      <w:r w:rsidRPr="00D94E59">
        <w:rPr>
          <w:rFonts w:hint="cs"/>
          <w:b/>
          <w:bCs/>
          <w:sz w:val="28"/>
          <w:szCs w:val="28"/>
          <w:rtl/>
        </w:rPr>
        <w:t>לסמסטר השני: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מרדכי אליהו, "מינוי </w:t>
      </w:r>
      <w:proofErr w:type="spellStart"/>
      <w:r w:rsidRPr="00C848C3">
        <w:rPr>
          <w:rFonts w:ascii="Arial" w:hAnsi="Arial" w:cs="Arial"/>
          <w:rtl/>
        </w:rPr>
        <w:t>אשה</w:t>
      </w:r>
      <w:proofErr w:type="spellEnd"/>
      <w:r w:rsidRPr="00C848C3">
        <w:rPr>
          <w:rFonts w:ascii="Arial" w:hAnsi="Arial" w:cs="Arial"/>
          <w:rtl/>
        </w:rPr>
        <w:t xml:space="preserve"> לתפקיד ציבורי",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ז' (תשמ"ו), עמ' 518-519.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 אליקים ג' </w:t>
      </w:r>
      <w:proofErr w:type="spellStart"/>
      <w:r w:rsidRPr="00C848C3">
        <w:rPr>
          <w:rFonts w:ascii="Arial" w:hAnsi="Arial" w:cs="Arial"/>
          <w:rtl/>
        </w:rPr>
        <w:t>אלינסון</w:t>
      </w:r>
      <w:proofErr w:type="spellEnd"/>
      <w:r w:rsidRPr="00C848C3">
        <w:rPr>
          <w:rFonts w:ascii="Arial" w:hAnsi="Arial" w:cs="Arial"/>
          <w:rtl/>
        </w:rPr>
        <w:t xml:space="preserve">, הצנע לכת, ירושלים, תשנ"ז, עמ' 15-43. 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יוסף אפרתי, "חברות נשים </w:t>
      </w:r>
      <w:proofErr w:type="spellStart"/>
      <w:r w:rsidRPr="00C848C3">
        <w:rPr>
          <w:rFonts w:ascii="Arial" w:hAnsi="Arial" w:cs="Arial"/>
          <w:rtl/>
        </w:rPr>
        <w:t>בועד</w:t>
      </w:r>
      <w:proofErr w:type="spellEnd"/>
      <w:r w:rsidRPr="00C848C3">
        <w:rPr>
          <w:rFonts w:ascii="Arial" w:hAnsi="Arial" w:cs="Arial"/>
          <w:rtl/>
        </w:rPr>
        <w:t xml:space="preserve"> מקומי בישוב שיתופי", הקיבוץ בהלכה, עמ' 277-290.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אברהם גרוסמן, חסידות ומורדות: נשים יהודיות באירופה בימי הביניים, ירושלים, תשס"א.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הרב יונה דברת, "מינוי נשים לתפקיד ציבורי, והשתתפותן בהצבעה באסיפה", הקיבוץ בהלכה, עמ' 291-311.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>הרב יצחק אייזיק הלוי הרצוג, תחוקה לישראל על פי התורה, כרך א: סדרי שלטון ומשפט במדינה היהודית, ירושלים, תשמ"ט.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הרב שלמה מן ההר, "שיתוף נשים במלחמה",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ד' (תשמ"ג), עמ' 68-78.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 xml:space="preserve">הרב משה </w:t>
      </w:r>
      <w:proofErr w:type="spellStart"/>
      <w:r w:rsidRPr="00C848C3">
        <w:rPr>
          <w:rFonts w:ascii="Arial" w:hAnsi="Arial" w:cs="Arial" w:hint="cs"/>
          <w:rtl/>
        </w:rPr>
        <w:t>פיינשטיין</w:t>
      </w:r>
      <w:proofErr w:type="spellEnd"/>
      <w:r w:rsidRPr="00C848C3">
        <w:rPr>
          <w:rFonts w:ascii="Arial" w:hAnsi="Arial" w:cs="Arial" w:hint="cs"/>
          <w:rtl/>
        </w:rPr>
        <w:t xml:space="preserve">, אגרות משה, חלק ג, ניו יורק, תשכ"א; חלק ד, ניו יורק, תשכ"ד; חלק ה, ניו יורק, תשל"ג. 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>תמר רוס, ארמון התורה ממעל לה, תל אביב, תשס"ז. עמ' 33-70; 387-419.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>הרב יהודה שביב</w:t>
      </w:r>
      <w:r>
        <w:rPr>
          <w:rFonts w:ascii="Arial" w:hAnsi="Arial" w:cs="Arial" w:hint="cs"/>
          <w:rtl/>
        </w:rPr>
        <w:t xml:space="preserve"> </w:t>
      </w:r>
      <w:r w:rsidRPr="00C848C3">
        <w:rPr>
          <w:rFonts w:ascii="Arial" w:hAnsi="Arial" w:cs="Arial" w:hint="cs"/>
          <w:rtl/>
        </w:rPr>
        <w:t>(עורך): בצומת התורה והמדינה, אלון שבות, תשנ"א.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/>
          <w:rtl/>
        </w:rPr>
        <w:t xml:space="preserve">אליאב </w:t>
      </w:r>
      <w:proofErr w:type="spellStart"/>
      <w:r w:rsidRPr="00C848C3">
        <w:rPr>
          <w:rFonts w:ascii="Arial" w:hAnsi="Arial" w:cs="Arial"/>
          <w:rtl/>
        </w:rPr>
        <w:t>שוחטמן</w:t>
      </w:r>
      <w:proofErr w:type="spellEnd"/>
      <w:r w:rsidRPr="00C848C3">
        <w:rPr>
          <w:rFonts w:ascii="Arial" w:hAnsi="Arial" w:cs="Arial"/>
          <w:rtl/>
        </w:rPr>
        <w:t xml:space="preserve">, "מנייני נשים בכותל",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טו (תשנ"ה), עמ' 184-161.</w:t>
      </w:r>
    </w:p>
    <w:p w:rsidR="001B56F5" w:rsidRPr="00C848C3" w:rsidRDefault="001B56F5" w:rsidP="001B56F5">
      <w:pPr>
        <w:spacing w:after="240"/>
        <w:rPr>
          <w:rFonts w:ascii="Arial" w:hAnsi="Arial" w:cs="Arial"/>
          <w:b/>
          <w:bCs/>
          <w:rtl/>
        </w:rPr>
      </w:pPr>
      <w:r w:rsidRPr="00C848C3">
        <w:rPr>
          <w:rFonts w:ascii="Arial" w:hAnsi="Arial" w:cs="Arial" w:hint="cs"/>
          <w:rtl/>
        </w:rPr>
        <w:t>-</w:t>
      </w:r>
      <w:r w:rsidRPr="00C848C3">
        <w:rPr>
          <w:rFonts w:ascii="Arial" w:hAnsi="Arial" w:cs="Arial"/>
          <w:rtl/>
        </w:rPr>
        <w:t xml:space="preserve"> התגובות להנ"ל, בתוך </w:t>
      </w:r>
      <w:proofErr w:type="spellStart"/>
      <w:r w:rsidRPr="00C848C3">
        <w:rPr>
          <w:rFonts w:ascii="Arial" w:hAnsi="Arial" w:cs="Arial"/>
          <w:rtl/>
        </w:rPr>
        <w:t>תחומין</w:t>
      </w:r>
      <w:proofErr w:type="spellEnd"/>
      <w:r w:rsidRPr="00C848C3">
        <w:rPr>
          <w:rFonts w:ascii="Arial" w:hAnsi="Arial" w:cs="Arial"/>
          <w:rtl/>
        </w:rPr>
        <w:t xml:space="preserve"> </w:t>
      </w:r>
      <w:proofErr w:type="spellStart"/>
      <w:r w:rsidRPr="00C848C3">
        <w:rPr>
          <w:rFonts w:ascii="Arial" w:hAnsi="Arial" w:cs="Arial"/>
          <w:rtl/>
        </w:rPr>
        <w:t>יז</w:t>
      </w:r>
      <w:proofErr w:type="spellEnd"/>
      <w:r w:rsidRPr="00C848C3">
        <w:rPr>
          <w:rFonts w:ascii="Arial" w:hAnsi="Arial" w:cs="Arial"/>
          <w:rtl/>
        </w:rPr>
        <w:t xml:space="preserve">  (תשנ"ז), עמ' 167-160.</w:t>
      </w:r>
    </w:p>
    <w:p w:rsidR="001B56F5" w:rsidRDefault="001B56F5" w:rsidP="001B56F5">
      <w:pPr>
        <w:spacing w:after="240"/>
      </w:pPr>
      <w:r w:rsidRPr="00C848C3">
        <w:rPr>
          <w:rFonts w:ascii="Arial" w:hAnsi="Arial" w:cs="Arial"/>
          <w:rtl/>
        </w:rPr>
        <w:t>דניאל שפרבר, דרכה של הלכה, ירושלים, תשס"ז</w:t>
      </w:r>
      <w:r>
        <w:rPr>
          <w:rFonts w:ascii="Arial" w:hAnsi="Arial" w:cs="Arial" w:hint="cs"/>
          <w:rtl/>
        </w:rPr>
        <w:t>.</w:t>
      </w:r>
      <w:r w:rsidRPr="00C848C3">
        <w:rPr>
          <w:rFonts w:ascii="Arial" w:hAnsi="Arial" w:cs="Arial"/>
          <w:rtl/>
        </w:rPr>
        <w:t xml:space="preserve"> </w:t>
      </w:r>
    </w:p>
    <w:p w:rsidR="001B56F5" w:rsidRDefault="001B56F5" w:rsidP="001B56F5">
      <w:pPr>
        <w:rPr>
          <w:rFonts w:ascii="Arial" w:hAnsi="Arial" w:cs="Arial"/>
          <w:b/>
          <w:bCs/>
          <w:rtl/>
        </w:rPr>
      </w:pPr>
    </w:p>
    <w:p w:rsidR="001B56F5" w:rsidRDefault="001B56F5" w:rsidP="001B56F5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1B56F5" w:rsidRPr="002112BF" w:rsidRDefault="001B56F5" w:rsidP="001B56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Issues in Halacha, Society and Gender</w:t>
      </w:r>
    </w:p>
    <w:p w:rsidR="001B56F5" w:rsidRDefault="001B56F5" w:rsidP="001B56F5"/>
    <w:p w:rsidR="00CA1BFF" w:rsidRDefault="00CA1BFF"/>
    <w:sectPr w:rsidR="00CA1BFF" w:rsidSect="00A5029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5"/>
    <w:rsid w:val="001B56F5"/>
    <w:rsid w:val="00A73000"/>
    <w:rsid w:val="00C17754"/>
    <w:rsid w:val="00CA1BFF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0E017-BDB4-4488-B0C8-EFE7E3F9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2020-05-04T05:25:00Z</dcterms:created>
  <dcterms:modified xsi:type="dcterms:W3CDTF">2020-09-10T12:25:00Z</dcterms:modified>
</cp:coreProperties>
</file>