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8986" w14:textId="21A799A0" w:rsidR="0059149F" w:rsidRPr="00103881" w:rsidRDefault="00103881" w:rsidP="00103881">
      <w:pPr>
        <w:jc w:val="center"/>
        <w:rPr>
          <w:rtl/>
        </w:rPr>
      </w:pPr>
      <w:r w:rsidRPr="00103881">
        <w:rPr>
          <w:noProof/>
        </w:rPr>
        <w:drawing>
          <wp:inline distT="0" distB="0" distL="0" distR="0" wp14:anchorId="38E8F888" wp14:editId="73D7ECC1">
            <wp:extent cx="1536065" cy="932815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19001" w14:textId="77777777" w:rsidR="0059149F" w:rsidRPr="00103881" w:rsidRDefault="0059149F" w:rsidP="00103881">
      <w:pPr>
        <w:rPr>
          <w:rtl/>
        </w:rPr>
      </w:pPr>
    </w:p>
    <w:p w14:paraId="151E444B" w14:textId="77777777" w:rsidR="0059149F" w:rsidRPr="00103881" w:rsidRDefault="0059149F" w:rsidP="00103881">
      <w:pPr>
        <w:rPr>
          <w:rtl/>
        </w:rPr>
      </w:pPr>
      <w:bookmarkStart w:id="0" w:name="_GoBack"/>
      <w:bookmarkEnd w:id="0"/>
    </w:p>
    <w:p w14:paraId="452EA120" w14:textId="235AFAF7" w:rsidR="0059149F" w:rsidRPr="00103881" w:rsidRDefault="00103881" w:rsidP="00103881">
      <w:pPr>
        <w:rPr>
          <w:bCs/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  <w:r w:rsidR="0059149F" w:rsidRPr="00103881">
        <w:rPr>
          <w:rtl/>
        </w:rPr>
        <w:t>תאריך עדכון: ‏‏</w:t>
      </w:r>
      <w:r>
        <w:rPr>
          <w:rFonts w:hint="cs"/>
          <w:rtl/>
        </w:rPr>
        <w:t>מאי 2019</w:t>
      </w:r>
    </w:p>
    <w:p w14:paraId="3D4E4A77" w14:textId="77777777" w:rsidR="00103881" w:rsidRPr="00103881" w:rsidRDefault="0059149F" w:rsidP="00103881">
      <w:pPr>
        <w:pStyle w:val="1"/>
        <w:rPr>
          <w:sz w:val="40"/>
          <w:szCs w:val="36"/>
          <w:rtl/>
        </w:rPr>
      </w:pPr>
      <w:r w:rsidRPr="00103881">
        <w:rPr>
          <w:sz w:val="40"/>
          <w:szCs w:val="36"/>
          <w:rtl/>
        </w:rPr>
        <w:t>מועדי ישראל במדרשי אגדה</w:t>
      </w:r>
    </w:p>
    <w:p w14:paraId="6CE39C60" w14:textId="7F8B8AD9" w:rsidR="00D2657B" w:rsidRPr="00103881" w:rsidRDefault="0059149F" w:rsidP="00103881">
      <w:pPr>
        <w:pStyle w:val="1"/>
        <w:rPr>
          <w:sz w:val="40"/>
          <w:szCs w:val="36"/>
          <w:rtl/>
        </w:rPr>
      </w:pPr>
      <w:r w:rsidRPr="00103881">
        <w:rPr>
          <w:sz w:val="40"/>
          <w:szCs w:val="36"/>
          <w:rtl/>
        </w:rPr>
        <w:t xml:space="preserve"> 10-854-01</w:t>
      </w:r>
    </w:p>
    <w:p w14:paraId="439EA0DD" w14:textId="6E10DBD1" w:rsidR="00103881" w:rsidRPr="00103881" w:rsidRDefault="00103881" w:rsidP="00103881">
      <w:pPr>
        <w:rPr>
          <w:rtl/>
        </w:rPr>
      </w:pPr>
      <w:r w:rsidRPr="00103881">
        <w:rPr>
          <w:rFonts w:hint="cs"/>
          <w:b/>
          <w:bCs/>
          <w:rtl/>
        </w:rPr>
        <w:t xml:space="preserve">                                   </w:t>
      </w:r>
      <w:r w:rsidRPr="00103881">
        <w:rPr>
          <w:b/>
          <w:bCs/>
          <w:rtl/>
        </w:rPr>
        <w:t xml:space="preserve"> שם המרצה:</w:t>
      </w:r>
      <w:r w:rsidRPr="00103881">
        <w:rPr>
          <w:rtl/>
        </w:rPr>
        <w:t xml:space="preserve"> ד"ר ארנון עצמון</w:t>
      </w:r>
    </w:p>
    <w:p w14:paraId="72F2F17A" w14:textId="770C0D65" w:rsidR="0059149F" w:rsidRPr="00103881" w:rsidRDefault="00103881" w:rsidP="00103881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59149F" w:rsidRPr="00103881">
        <w:rPr>
          <w:b/>
          <w:bCs/>
          <w:rtl/>
        </w:rPr>
        <w:t>סוג הקורס:</w:t>
      </w:r>
      <w:r w:rsidR="0059149F" w:rsidRPr="00103881">
        <w:rPr>
          <w:rtl/>
        </w:rPr>
        <w:t xml:space="preserve"> סמינריון</w:t>
      </w:r>
    </w:p>
    <w:p w14:paraId="6D26D705" w14:textId="6216382C" w:rsidR="0059149F" w:rsidRPr="00103881" w:rsidRDefault="0059149F" w:rsidP="00103881">
      <w:pPr>
        <w:rPr>
          <w:rtl/>
        </w:rPr>
      </w:pPr>
      <w:r w:rsidRPr="00103881">
        <w:rPr>
          <w:b/>
          <w:bCs/>
          <w:rtl/>
        </w:rPr>
        <w:t>שנת לימודים</w:t>
      </w:r>
      <w:r w:rsidRPr="00103881">
        <w:rPr>
          <w:rtl/>
        </w:rPr>
        <w:t>: תש"</w:t>
      </w:r>
      <w:r w:rsidR="00780464" w:rsidRPr="00103881">
        <w:rPr>
          <w:rtl/>
        </w:rPr>
        <w:t>פ</w:t>
      </w:r>
      <w:r w:rsidRPr="00103881">
        <w:rPr>
          <w:rtl/>
        </w:rPr>
        <w:t xml:space="preserve">           </w:t>
      </w:r>
      <w:r w:rsidR="00103881">
        <w:rPr>
          <w:rtl/>
        </w:rPr>
        <w:t xml:space="preserve"> </w:t>
      </w:r>
      <w:r w:rsidRPr="00103881">
        <w:rPr>
          <w:rtl/>
        </w:rPr>
        <w:t xml:space="preserve"> </w:t>
      </w:r>
      <w:r w:rsidRPr="00103881">
        <w:rPr>
          <w:b/>
          <w:bCs/>
          <w:rtl/>
        </w:rPr>
        <w:t>סמסטר</w:t>
      </w:r>
      <w:r w:rsidRPr="00103881">
        <w:rPr>
          <w:rtl/>
        </w:rPr>
        <w:t>:  א-ב</w:t>
      </w:r>
      <w:r w:rsidR="00103881" w:rsidRPr="00103881">
        <w:rPr>
          <w:rtl/>
        </w:rPr>
        <w:t xml:space="preserve">        </w:t>
      </w:r>
      <w:r w:rsidR="00103881">
        <w:rPr>
          <w:rtl/>
        </w:rPr>
        <w:t xml:space="preserve">       </w:t>
      </w:r>
      <w:r w:rsidRPr="00103881">
        <w:rPr>
          <w:b/>
          <w:bCs/>
          <w:rtl/>
        </w:rPr>
        <w:t>היקף שעות</w:t>
      </w:r>
      <w:r w:rsidRPr="00103881">
        <w:rPr>
          <w:rtl/>
        </w:rPr>
        <w:t>: 2 ש"ש</w:t>
      </w:r>
    </w:p>
    <w:p w14:paraId="3F7346D8" w14:textId="77777777" w:rsidR="003F6FB9" w:rsidRPr="00103881" w:rsidRDefault="006D1053" w:rsidP="00103881">
      <w:pPr>
        <w:pStyle w:val="3"/>
        <w:rPr>
          <w:rtl/>
        </w:rPr>
      </w:pPr>
      <w:r w:rsidRPr="00103881">
        <w:rPr>
          <w:rtl/>
        </w:rPr>
        <w:t>א. מטרות הקורס</w:t>
      </w:r>
    </w:p>
    <w:p w14:paraId="4471A509" w14:textId="77777777" w:rsidR="003F6FB9" w:rsidRPr="00103881" w:rsidRDefault="003F6FB9" w:rsidP="00103881">
      <w:pPr>
        <w:rPr>
          <w:rtl/>
        </w:rPr>
      </w:pPr>
      <w:r w:rsidRPr="00103881">
        <w:rPr>
          <w:rtl/>
        </w:rPr>
        <w:t xml:space="preserve">מטרת הקורס היא לסקור ולבחון את היחס בין </w:t>
      </w:r>
      <w:r w:rsidR="005F0A1A" w:rsidRPr="00103881">
        <w:rPr>
          <w:rtl/>
        </w:rPr>
        <w:t>לוח השנה העברי והליטורגיה</w:t>
      </w:r>
      <w:r w:rsidR="00302580" w:rsidRPr="00103881">
        <w:rPr>
          <w:rtl/>
        </w:rPr>
        <w:t xml:space="preserve"> שלו לבין מדרש פסיקתא דרב כהנא</w:t>
      </w:r>
      <w:r w:rsidR="005F0A1A" w:rsidRPr="00103881">
        <w:rPr>
          <w:rtl/>
        </w:rPr>
        <w:t>.</w:t>
      </w:r>
      <w:r w:rsidRPr="00103881">
        <w:rPr>
          <w:rtl/>
        </w:rPr>
        <w:t xml:space="preserve"> </w:t>
      </w:r>
      <w:r w:rsidR="005F0A1A" w:rsidRPr="00103881">
        <w:rPr>
          <w:rtl/>
        </w:rPr>
        <w:t>בקורס נלמד את תולדות הפסיקתא</w:t>
      </w:r>
      <w:r w:rsidR="00302580" w:rsidRPr="00103881">
        <w:rPr>
          <w:rtl/>
        </w:rPr>
        <w:t>,</w:t>
      </w:r>
      <w:r w:rsidR="005F0A1A" w:rsidRPr="00103881">
        <w:rPr>
          <w:rtl/>
        </w:rPr>
        <w:t xml:space="preserve"> נקרא וננתח פיסקאות שונות</w:t>
      </w:r>
      <w:r w:rsidR="00302580" w:rsidRPr="00103881">
        <w:rPr>
          <w:rtl/>
        </w:rPr>
        <w:t>, ונעיין ברקע הליטורגי שלהן במועדי השנה</w:t>
      </w:r>
      <w:r w:rsidR="005F0A1A" w:rsidRPr="00103881">
        <w:rPr>
          <w:rtl/>
        </w:rPr>
        <w:t xml:space="preserve">. </w:t>
      </w:r>
      <w:r w:rsidRPr="00103881">
        <w:rPr>
          <w:rtl/>
        </w:rPr>
        <w:t>בקורס ייעשה שימוש במתודות המחקריות ההיסטוריות והפילולוגיות. נעמוד על הרקע התרבותי והרוחני ל</w:t>
      </w:r>
      <w:r w:rsidR="005F0A1A" w:rsidRPr="00103881">
        <w:rPr>
          <w:rtl/>
        </w:rPr>
        <w:t>פסקאות אלו</w:t>
      </w:r>
      <w:r w:rsidRPr="00103881">
        <w:rPr>
          <w:rtl/>
        </w:rPr>
        <w:t>.</w:t>
      </w:r>
    </w:p>
    <w:p w14:paraId="56D51892" w14:textId="77777777" w:rsidR="006D1053" w:rsidRPr="00103881" w:rsidRDefault="006D1053" w:rsidP="00103881">
      <w:pPr>
        <w:rPr>
          <w:rtl/>
        </w:rPr>
      </w:pPr>
    </w:p>
    <w:p w14:paraId="481C6BC2" w14:textId="77777777" w:rsidR="00302580" w:rsidRPr="00103881" w:rsidRDefault="006D1053" w:rsidP="00103881">
      <w:pPr>
        <w:pStyle w:val="3"/>
        <w:rPr>
          <w:rtl/>
        </w:rPr>
      </w:pPr>
      <w:r w:rsidRPr="00103881">
        <w:rPr>
          <w:rtl/>
        </w:rPr>
        <w:t>ב. תוכן הקורס</w:t>
      </w:r>
      <w:r w:rsidR="00FB2F98" w:rsidRPr="00103881">
        <w:rPr>
          <w:rtl/>
        </w:rPr>
        <w:t xml:space="preserve"> </w:t>
      </w:r>
    </w:p>
    <w:p w14:paraId="055EDFB3" w14:textId="77777777" w:rsidR="006D1053" w:rsidRPr="00103881" w:rsidRDefault="006D1053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מדרשי האגדה בארץ ישראל – סקירה כללית.</w:t>
      </w:r>
    </w:p>
    <w:p w14:paraId="23B890EC" w14:textId="77777777" w:rsidR="00120DB2" w:rsidRPr="00103881" w:rsidRDefault="00120DB2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פסיקתא דרב כהנא</w:t>
      </w:r>
      <w:r w:rsidR="00B60A16" w:rsidRPr="00103881">
        <w:rPr>
          <w:rtl/>
        </w:rPr>
        <w:t xml:space="preserve"> – תולדות המחקר (שיחזור הפסיקתא וגילויה).</w:t>
      </w:r>
    </w:p>
    <w:p w14:paraId="7A9C7EBB" w14:textId="77777777" w:rsidR="006D1053" w:rsidRPr="00103881" w:rsidRDefault="00B60A16" w:rsidP="00103881">
      <w:pPr>
        <w:pStyle w:val="afd"/>
        <w:numPr>
          <w:ilvl w:val="0"/>
          <w:numId w:val="3"/>
        </w:numPr>
      </w:pPr>
      <w:r w:rsidRPr="00103881">
        <w:rPr>
          <w:rtl/>
        </w:rPr>
        <w:t xml:space="preserve">פסיקתא דרב כהנא – </w:t>
      </w:r>
      <w:r w:rsidR="006D1053" w:rsidRPr="00103881">
        <w:rPr>
          <w:rtl/>
        </w:rPr>
        <w:t xml:space="preserve">מבנה </w:t>
      </w:r>
      <w:r w:rsidRPr="00103881">
        <w:rPr>
          <w:rtl/>
        </w:rPr>
        <w:t>החיבור וזיקתו לקריאות ה</w:t>
      </w:r>
      <w:r w:rsidR="00BB5E59" w:rsidRPr="00103881">
        <w:rPr>
          <w:rtl/>
        </w:rPr>
        <w:t>תורה ל</w:t>
      </w:r>
      <w:r w:rsidRPr="00103881">
        <w:rPr>
          <w:rtl/>
        </w:rPr>
        <w:t>מועדים</w:t>
      </w:r>
      <w:r w:rsidR="006D1053" w:rsidRPr="00103881">
        <w:rPr>
          <w:rtl/>
        </w:rPr>
        <w:t>.</w:t>
      </w:r>
    </w:p>
    <w:p w14:paraId="60B6B355" w14:textId="77777777" w:rsidR="00120DB2" w:rsidRPr="00103881" w:rsidRDefault="00120DB2" w:rsidP="00103881">
      <w:pPr>
        <w:pStyle w:val="afd"/>
        <w:numPr>
          <w:ilvl w:val="0"/>
          <w:numId w:val="3"/>
        </w:numPr>
      </w:pPr>
      <w:r w:rsidRPr="00103881">
        <w:rPr>
          <w:rtl/>
        </w:rPr>
        <w:t xml:space="preserve">פסיקתא דרב כהנא </w:t>
      </w:r>
      <w:r w:rsidR="00B60A16" w:rsidRPr="00103881">
        <w:rPr>
          <w:rtl/>
        </w:rPr>
        <w:t>– זיקה למדרשים אחרים (ויקרא רבה ו</w:t>
      </w:r>
      <w:r w:rsidRPr="00103881">
        <w:rPr>
          <w:rtl/>
        </w:rPr>
        <w:t>פסיקתא רבתי</w:t>
      </w:r>
      <w:r w:rsidR="00B60A16" w:rsidRPr="00103881">
        <w:rPr>
          <w:rtl/>
        </w:rPr>
        <w:t>)</w:t>
      </w:r>
    </w:p>
    <w:p w14:paraId="5C0AB731" w14:textId="77777777" w:rsidR="003F6FB9" w:rsidRPr="00103881" w:rsidRDefault="00B60A16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ב</w:t>
      </w:r>
      <w:r w:rsidR="005F0A1A" w:rsidRPr="00103881">
        <w:rPr>
          <w:rtl/>
        </w:rPr>
        <w:t xml:space="preserve">פסיקתא </w:t>
      </w:r>
      <w:r w:rsidR="006D1053" w:rsidRPr="00103881">
        <w:rPr>
          <w:rtl/>
        </w:rPr>
        <w:t xml:space="preserve">דרב כהנא </w:t>
      </w:r>
      <w:r w:rsidRPr="00103881">
        <w:rPr>
          <w:rtl/>
        </w:rPr>
        <w:t>– מתוך הפיסקה לחנוכה ("ויהי ביום כלת").</w:t>
      </w:r>
    </w:p>
    <w:p w14:paraId="2222C18C" w14:textId="77777777" w:rsidR="00120DB2" w:rsidRPr="00103881" w:rsidRDefault="00B60A16" w:rsidP="00103881">
      <w:pPr>
        <w:pStyle w:val="afd"/>
        <w:numPr>
          <w:ilvl w:val="0"/>
          <w:numId w:val="3"/>
        </w:numPr>
      </w:pPr>
      <w:r w:rsidRPr="00103881">
        <w:rPr>
          <w:rtl/>
        </w:rPr>
        <w:t xml:space="preserve">קריאות נבחרות – מתוך </w:t>
      </w:r>
      <w:r w:rsidR="00120DB2" w:rsidRPr="00103881">
        <w:rPr>
          <w:rtl/>
        </w:rPr>
        <w:t>הפסק</w:t>
      </w:r>
      <w:r w:rsidR="006D1053" w:rsidRPr="00103881">
        <w:rPr>
          <w:rtl/>
        </w:rPr>
        <w:t>אות לארבע הפרשיות</w:t>
      </w:r>
      <w:r w:rsidR="00BB5E59" w:rsidRPr="00103881">
        <w:rPr>
          <w:rtl/>
        </w:rPr>
        <w:t xml:space="preserve"> ("החדש הזה")</w:t>
      </w:r>
      <w:r w:rsidR="00120DB2" w:rsidRPr="00103881">
        <w:rPr>
          <w:rtl/>
        </w:rPr>
        <w:t>.</w:t>
      </w:r>
    </w:p>
    <w:p w14:paraId="2A67DD2B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lastRenderedPageBreak/>
        <w:t>קריאות נבחרות – מתוך הפסקאות לארבע הפרשיות ("כי תשא").</w:t>
      </w:r>
    </w:p>
    <w:p w14:paraId="6D9C9522" w14:textId="77777777" w:rsidR="00120DB2" w:rsidRPr="00103881" w:rsidRDefault="00B60A16" w:rsidP="00103881">
      <w:pPr>
        <w:pStyle w:val="afd"/>
        <w:numPr>
          <w:ilvl w:val="0"/>
          <w:numId w:val="3"/>
        </w:numPr>
      </w:pPr>
      <w:r w:rsidRPr="00103881">
        <w:rPr>
          <w:rtl/>
        </w:rPr>
        <w:t xml:space="preserve">קריאות נבחרות – מתוך </w:t>
      </w:r>
      <w:r w:rsidR="00120DB2" w:rsidRPr="00103881">
        <w:rPr>
          <w:rtl/>
        </w:rPr>
        <w:t>הפסקאות למועדי פסח</w:t>
      </w:r>
      <w:r w:rsidR="00BB5E59" w:rsidRPr="00103881">
        <w:rPr>
          <w:rtl/>
        </w:rPr>
        <w:t xml:space="preserve"> ("ויהי בחצי הלילה")</w:t>
      </w:r>
      <w:r w:rsidR="00934C05" w:rsidRPr="00103881">
        <w:rPr>
          <w:rtl/>
        </w:rPr>
        <w:t>.</w:t>
      </w:r>
    </w:p>
    <w:p w14:paraId="2B122360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למועדי פסח ("שור או כשב").</w:t>
      </w:r>
    </w:p>
    <w:p w14:paraId="71E3F49C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למועדי פסח ("ויהי בשלח").</w:t>
      </w:r>
    </w:p>
    <w:p w14:paraId="512C039A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למועדי פסח ("בחודש השלישי").</w:t>
      </w:r>
    </w:p>
    <w:p w14:paraId="2092F966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לימים נוראים ("בחדש השביעי").</w:t>
      </w:r>
    </w:p>
    <w:p w14:paraId="41767859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לימים נוראים ("אחרי מות").</w:t>
      </w:r>
    </w:p>
    <w:p w14:paraId="78F3D44E" w14:textId="77777777" w:rsidR="00120DB2" w:rsidRPr="00103881" w:rsidRDefault="00B60A16" w:rsidP="00103881">
      <w:pPr>
        <w:pStyle w:val="afd"/>
        <w:numPr>
          <w:ilvl w:val="0"/>
          <w:numId w:val="3"/>
        </w:numPr>
      </w:pPr>
      <w:r w:rsidRPr="00103881">
        <w:rPr>
          <w:rtl/>
        </w:rPr>
        <w:t xml:space="preserve">קריאות נבחרות – מתוך </w:t>
      </w:r>
      <w:r w:rsidR="00120DB2" w:rsidRPr="00103881">
        <w:rPr>
          <w:rtl/>
        </w:rPr>
        <w:t>הפסקאות ל</w:t>
      </w:r>
      <w:r w:rsidR="00BB5E59" w:rsidRPr="00103881">
        <w:rPr>
          <w:rtl/>
        </w:rPr>
        <w:t>חגי תשרי ("ולקחתם לכם")</w:t>
      </w:r>
      <w:r w:rsidRPr="00103881">
        <w:rPr>
          <w:rtl/>
        </w:rPr>
        <w:t>.</w:t>
      </w:r>
    </w:p>
    <w:p w14:paraId="3D24BCB5" w14:textId="77777777" w:rsidR="00120DB2" w:rsidRPr="00103881" w:rsidRDefault="00B60A16" w:rsidP="00103881">
      <w:pPr>
        <w:pStyle w:val="afd"/>
        <w:numPr>
          <w:ilvl w:val="0"/>
          <w:numId w:val="3"/>
        </w:numPr>
      </w:pPr>
      <w:r w:rsidRPr="00103881">
        <w:rPr>
          <w:rtl/>
        </w:rPr>
        <w:t xml:space="preserve">קריאות נבחרות – מתוך </w:t>
      </w:r>
      <w:r w:rsidR="00120DB2" w:rsidRPr="00103881">
        <w:rPr>
          <w:rtl/>
        </w:rPr>
        <w:t>הפסקאות להפטרות המיוחדות</w:t>
      </w:r>
      <w:r w:rsidR="00BB5E59" w:rsidRPr="00103881">
        <w:rPr>
          <w:rtl/>
        </w:rPr>
        <w:t xml:space="preserve"> ("דברי ירמיהו")</w:t>
      </w:r>
      <w:r w:rsidR="00120DB2" w:rsidRPr="00103881">
        <w:rPr>
          <w:rtl/>
        </w:rPr>
        <w:t>.</w:t>
      </w:r>
    </w:p>
    <w:p w14:paraId="456835B5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להפטרות המיוחדות ("שמעו דבר ה'").</w:t>
      </w:r>
    </w:p>
    <w:p w14:paraId="49E1454F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להפטרות המיוחדות ("איכה").</w:t>
      </w:r>
    </w:p>
    <w:p w14:paraId="622CB865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להפטרות המיוחדות ("נחמו נחמו").</w:t>
      </w:r>
    </w:p>
    <w:p w14:paraId="68AAEC95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להפטרות המיוחדות ("ותאמר ציון").</w:t>
      </w:r>
    </w:p>
    <w:p w14:paraId="0042ED92" w14:textId="77777777" w:rsidR="00BB5E59" w:rsidRPr="00103881" w:rsidRDefault="00BB5E59" w:rsidP="00103881">
      <w:pPr>
        <w:pStyle w:val="afd"/>
        <w:numPr>
          <w:ilvl w:val="0"/>
          <w:numId w:val="3"/>
        </w:numPr>
      </w:pPr>
      <w:r w:rsidRPr="00103881">
        <w:rPr>
          <w:rtl/>
        </w:rPr>
        <w:t>קריאות נבחרות – מתוך הפסקאות להפטרות המיוחדות ("שוש אשיש").</w:t>
      </w:r>
    </w:p>
    <w:p w14:paraId="22A09A8F" w14:textId="77777777" w:rsidR="00BB5E59" w:rsidRPr="00103881" w:rsidRDefault="00BB5E59" w:rsidP="00103881">
      <w:pPr>
        <w:pStyle w:val="afd"/>
      </w:pPr>
    </w:p>
    <w:p w14:paraId="2DE00403" w14:textId="77777777" w:rsidR="00897ED9" w:rsidRPr="00103881" w:rsidRDefault="00897ED9" w:rsidP="00103881">
      <w:pPr>
        <w:rPr>
          <w:b/>
          <w:bCs/>
        </w:rPr>
      </w:pPr>
      <w:r w:rsidRPr="00103881">
        <w:rPr>
          <w:rtl/>
        </w:rPr>
        <w:t>ג. דרישות קדם: אין.</w:t>
      </w:r>
    </w:p>
    <w:p w14:paraId="0606B29F" w14:textId="77777777" w:rsidR="00897ED9" w:rsidRPr="00103881" w:rsidRDefault="00897ED9" w:rsidP="00103881">
      <w:pPr>
        <w:rPr>
          <w:rtl/>
        </w:rPr>
      </w:pPr>
    </w:p>
    <w:p w14:paraId="49FF34D5" w14:textId="77777777" w:rsidR="00897ED9" w:rsidRPr="00103881" w:rsidRDefault="00897ED9" w:rsidP="00103881">
      <w:pPr>
        <w:rPr>
          <w:rtl/>
        </w:rPr>
      </w:pPr>
      <w:r w:rsidRPr="00103881">
        <w:rPr>
          <w:rtl/>
        </w:rPr>
        <w:t xml:space="preserve">ד. </w:t>
      </w:r>
      <w:r w:rsidRPr="00103881">
        <w:rPr>
          <w:color w:val="0000FF"/>
          <w:sz w:val="26"/>
          <w:szCs w:val="26"/>
          <w:rtl/>
        </w:rPr>
        <w:t>חובות / דרישות / מטלות:</w:t>
      </w:r>
      <w:r w:rsidRPr="00103881">
        <w:rPr>
          <w:rtl/>
        </w:rPr>
        <w:t xml:space="preserve"> הכנת סמינריון על בסיס בחומר שנלמד בקורס. בקורס זה יש חובת נוכחות רק בסמסטר א.</w:t>
      </w:r>
    </w:p>
    <w:p w14:paraId="5E9ABC9F" w14:textId="77777777" w:rsidR="00897ED9" w:rsidRPr="00103881" w:rsidRDefault="00897ED9" w:rsidP="00103881">
      <w:pPr>
        <w:rPr>
          <w:rtl/>
        </w:rPr>
      </w:pPr>
    </w:p>
    <w:p w14:paraId="71431984" w14:textId="77777777" w:rsidR="00897ED9" w:rsidRPr="00103881" w:rsidRDefault="00897ED9" w:rsidP="00103881">
      <w:pPr>
        <w:rPr>
          <w:rtl/>
        </w:rPr>
      </w:pPr>
      <w:r w:rsidRPr="00103881">
        <w:rPr>
          <w:rtl/>
        </w:rPr>
        <w:t>ה.</w:t>
      </w:r>
      <w:r w:rsidRPr="00103881">
        <w:rPr>
          <w:color w:val="0000FF"/>
          <w:sz w:val="26"/>
          <w:szCs w:val="26"/>
          <w:rtl/>
        </w:rPr>
        <w:t xml:space="preserve"> מרכיבי הציון הסופי</w:t>
      </w:r>
      <w:r w:rsidRPr="00103881">
        <w:rPr>
          <w:rtl/>
        </w:rPr>
        <w:t xml:space="preserve"> (ציון מספרי / ציון עובר): </w:t>
      </w:r>
    </w:p>
    <w:p w14:paraId="3636E386" w14:textId="77777777" w:rsidR="00897ED9" w:rsidRPr="00103881" w:rsidRDefault="00897ED9" w:rsidP="00103881">
      <w:pPr>
        <w:rPr>
          <w:b/>
          <w:bCs/>
          <w:sz w:val="26"/>
          <w:szCs w:val="26"/>
          <w:rtl/>
        </w:rPr>
      </w:pPr>
      <w:r w:rsidRPr="00103881">
        <w:rPr>
          <w:rtl/>
        </w:rPr>
        <w:t>הציון הסופי מורכב מעבודה סמינריונית המהווה 100% מן הציון בקורס.</w:t>
      </w:r>
    </w:p>
    <w:p w14:paraId="4B6D8FF5" w14:textId="77777777" w:rsidR="006D1053" w:rsidRPr="00103881" w:rsidRDefault="006D1053" w:rsidP="00103881">
      <w:pPr>
        <w:pStyle w:val="2"/>
        <w:rPr>
          <w:rtl/>
        </w:rPr>
      </w:pPr>
    </w:p>
    <w:p w14:paraId="453899A6" w14:textId="44242E50" w:rsidR="0066041E" w:rsidRPr="00103881" w:rsidRDefault="00490355" w:rsidP="00103881">
      <w:pPr>
        <w:pStyle w:val="3"/>
        <w:rPr>
          <w:rtl/>
        </w:rPr>
      </w:pPr>
      <w:r w:rsidRPr="00103881">
        <w:rPr>
          <w:rtl/>
        </w:rPr>
        <w:t>ו</w:t>
      </w:r>
      <w:r w:rsidR="006D1053" w:rsidRPr="00103881">
        <w:rPr>
          <w:rtl/>
        </w:rPr>
        <w:t>. ביבליוגרפיה</w:t>
      </w:r>
    </w:p>
    <w:p w14:paraId="276B4182" w14:textId="77777777" w:rsidR="00984093" w:rsidRPr="00103881" w:rsidRDefault="00984093" w:rsidP="00103881">
      <w:pPr>
        <w:pStyle w:val="afd"/>
        <w:numPr>
          <w:ilvl w:val="0"/>
          <w:numId w:val="17"/>
        </w:numPr>
        <w:rPr>
          <w:rtl/>
        </w:rPr>
      </w:pPr>
      <w:r w:rsidRPr="00103881">
        <w:rPr>
          <w:rtl/>
        </w:rPr>
        <w:t>אולמר, רבקה</w:t>
      </w:r>
      <w:dir w:val="rtl">
        <w:r w:rsidRPr="00103881">
          <w:rPr>
            <w:rtl/>
          </w:rPr>
          <w:t>, "עריכה וקנוניזציה בפסיקתא רבתי", הקונגרס העולמי למדעי היהדות 11,ג, כרך 1 (תשנג) 111-118</w:t>
        </w:r>
        <w:r w:rsidRPr="00103881">
          <w:t>‬</w:t>
        </w:r>
        <w:r w:rsidR="00C51B55" w:rsidRPr="00103881">
          <w:t>‬</w:t>
        </w:r>
        <w:r w:rsidR="005B11BD" w:rsidRPr="00103881">
          <w:t>‬</w:t>
        </w:r>
        <w:r w:rsidR="00DA51FB" w:rsidRPr="00103881">
          <w:t>‬</w:t>
        </w:r>
        <w:r w:rsidR="00F839F4" w:rsidRPr="00103881">
          <w:t>‬</w:t>
        </w:r>
        <w:r w:rsidR="00FB16FB" w:rsidRPr="00103881">
          <w:t>‬</w:t>
        </w:r>
        <w:r w:rsidR="00103881" w:rsidRPr="00103881">
          <w:t>‬</w:t>
        </w:r>
      </w:dir>
    </w:p>
    <w:p w14:paraId="58BCE7A6" w14:textId="77777777" w:rsidR="006D1053" w:rsidRPr="00103881" w:rsidRDefault="006D1053" w:rsidP="00103881">
      <w:pPr>
        <w:pStyle w:val="afd"/>
        <w:numPr>
          <w:ilvl w:val="0"/>
          <w:numId w:val="17"/>
        </w:numPr>
      </w:pPr>
      <w:r w:rsidRPr="00103881">
        <w:rPr>
          <w:rtl/>
        </w:rPr>
        <w:lastRenderedPageBreak/>
        <w:t>אלבוים, יעקב, "שערי תשובה לעולם פתוחים: עיון במחזור הפתיחות של פרשת שובה בפסיקתא דרב כהנא", היגיון ליונה (תשסז) 287-307</w:t>
      </w:r>
    </w:p>
    <w:p w14:paraId="620FB9D2" w14:textId="77777777" w:rsidR="006D1053" w:rsidRPr="00103881" w:rsidRDefault="006D1053" w:rsidP="00103881">
      <w:pPr>
        <w:pStyle w:val="afd"/>
        <w:numPr>
          <w:ilvl w:val="0"/>
          <w:numId w:val="17"/>
        </w:numPr>
      </w:pPr>
      <w:r w:rsidRPr="00103881">
        <w:rPr>
          <w:rtl/>
        </w:rPr>
        <w:t>בן-פזי, ישעיהו, "שיבוץ קובץ האגדות על רשב"י ובנו בפסיקתא דרב כהנא (פסקת "ויהי בשלח")", מורשתנו יז (תשס"ו) 137-162</w:t>
      </w:r>
    </w:p>
    <w:p w14:paraId="1058AA6C" w14:textId="77777777" w:rsidR="006D1053" w:rsidRPr="00103881" w:rsidRDefault="006D1053" w:rsidP="00103881">
      <w:pPr>
        <w:pStyle w:val="afd"/>
        <w:numPr>
          <w:ilvl w:val="0"/>
          <w:numId w:val="17"/>
        </w:numPr>
      </w:pPr>
      <w:r w:rsidRPr="00103881">
        <w:rPr>
          <w:rtl/>
        </w:rPr>
        <w:t>הירשמן, מנחם, "פסיקתא דרב כהנא ופיידאה", היגיון ליונה (תשסז) 165-178חזני, ישראל, "פסיקתא דרב כהנא "ולקחתם לכם" ו"ביום השמיני עצרת"", דרך אגדה יא (תשעא) 185-207.</w:t>
      </w:r>
      <w:r w:rsidRPr="00103881">
        <w:t>‬</w:t>
      </w:r>
    </w:p>
    <w:p w14:paraId="348EB1C0" w14:textId="77777777" w:rsidR="006D1053" w:rsidRPr="00103881" w:rsidRDefault="006D1053" w:rsidP="00103881">
      <w:pPr>
        <w:pStyle w:val="afd"/>
        <w:numPr>
          <w:ilvl w:val="0"/>
          <w:numId w:val="17"/>
        </w:numPr>
      </w:pPr>
      <w:r w:rsidRPr="00103881">
        <w:rPr>
          <w:rtl/>
        </w:rPr>
        <w:t>חזני, ישראל, "הערות לסיפורי ר’ שמעון בן יוחי ובנו בפסיקתא דרב כהנא "ויהי בשלח" ", משלב מב (תשע) 62 ע’.</w:t>
      </w:r>
      <w:r w:rsidRPr="00103881">
        <w:t>‬</w:t>
      </w:r>
    </w:p>
    <w:p w14:paraId="6145D549" w14:textId="77777777" w:rsidR="00984093" w:rsidRPr="00103881" w:rsidRDefault="00984093" w:rsidP="00103881">
      <w:pPr>
        <w:pStyle w:val="afd"/>
        <w:numPr>
          <w:ilvl w:val="0"/>
          <w:numId w:val="17"/>
        </w:numPr>
        <w:rPr>
          <w:rtl/>
        </w:rPr>
      </w:pPr>
      <w:r w:rsidRPr="00103881">
        <w:rPr>
          <w:rtl/>
        </w:rPr>
        <w:t xml:space="preserve">חזני, ישראל, "שתי סוכות: לפירושה של פסיקתא", נטועים ה (תשנט) 41-57 </w:t>
      </w:r>
      <w:r w:rsidRPr="00103881">
        <w:rPr>
          <w:rtl/>
        </w:rPr>
        <w:t>‬</w:t>
      </w:r>
    </w:p>
    <w:p w14:paraId="4F1436BF" w14:textId="77777777" w:rsidR="00984093" w:rsidRPr="00103881" w:rsidRDefault="006D1053" w:rsidP="00103881">
      <w:pPr>
        <w:pStyle w:val="afd"/>
        <w:numPr>
          <w:ilvl w:val="0"/>
          <w:numId w:val="17"/>
        </w:numPr>
      </w:pPr>
      <w:r w:rsidRPr="00103881">
        <w:rPr>
          <w:rtl/>
        </w:rPr>
        <w:t>מיליקובסקי, חיים, "ויקרא רבה, פרשה כח, הפתיחתא הראשונה (פסקאות א-ג): עיונים בנוסח, בעריכה ובזיקתה למקבילה בפסיקתא דרב כהנא", תרביץ עא,א-ב (תשסב) 19-65</w:t>
      </w:r>
    </w:p>
    <w:p w14:paraId="5585266F" w14:textId="77777777" w:rsidR="00984093" w:rsidRPr="00103881" w:rsidRDefault="006D1053" w:rsidP="00103881">
      <w:pPr>
        <w:pStyle w:val="afd"/>
        <w:numPr>
          <w:ilvl w:val="0"/>
          <w:numId w:val="17"/>
        </w:numPr>
      </w:pPr>
      <w:r w:rsidRPr="00103881">
        <w:rPr>
          <w:rtl/>
        </w:rPr>
        <w:t xml:space="preserve">שביב, יהודה, "חנוכת המשכן: עיון בפסיקתא דרב כהנא פיסקה א", מורשת יעקב ג (תשמט) 9-15 </w:t>
      </w:r>
    </w:p>
    <w:p w14:paraId="7020637D" w14:textId="77777777" w:rsidR="00984093" w:rsidRPr="00103881" w:rsidRDefault="00984093" w:rsidP="00103881">
      <w:pPr>
        <w:pStyle w:val="afd"/>
        <w:numPr>
          <w:ilvl w:val="0"/>
          <w:numId w:val="17"/>
        </w:numPr>
      </w:pPr>
      <w:r w:rsidRPr="00103881">
        <w:rPr>
          <w:rtl/>
        </w:rPr>
        <w:t>שנאן, אביגדור, "פרשת אחרי מות: הוגה דעות אנונימי בן המאה החמישית", הוגים בפרשה (2005) 337-351.</w:t>
      </w:r>
    </w:p>
    <w:p w14:paraId="25959338" w14:textId="77777777" w:rsidR="006D1053" w:rsidRPr="00103881" w:rsidRDefault="006D1053" w:rsidP="00103881">
      <w:pPr>
        <w:pStyle w:val="afd"/>
        <w:numPr>
          <w:ilvl w:val="0"/>
          <w:numId w:val="17"/>
        </w:numPr>
        <w:rPr>
          <w:rtl/>
        </w:rPr>
      </w:pPr>
      <w:r w:rsidRPr="00103881">
        <w:rPr>
          <w:rtl/>
        </w:rPr>
        <w:t>שורץ, יהושע, "גאלוס, יוליאנוס הכופר והפולמוס האנטי-נוצרי בפסיקתא רבתי", על אתר יא (תשסג) 7-13</w:t>
      </w:r>
    </w:p>
    <w:p w14:paraId="763D98E4" w14:textId="77777777" w:rsidR="00984093" w:rsidRPr="00103881" w:rsidRDefault="00120DB2" w:rsidP="00103881">
      <w:pPr>
        <w:pStyle w:val="afd"/>
        <w:numPr>
          <w:ilvl w:val="0"/>
          <w:numId w:val="17"/>
        </w:numPr>
        <w:bidi w:val="0"/>
      </w:pPr>
      <w:r w:rsidRPr="00103881">
        <w:t xml:space="preserve">Atzmon, Arnon, </w:t>
      </w:r>
      <w:r w:rsidRPr="00103881">
        <w:rPr>
          <w:rtl/>
        </w:rPr>
        <w:t>"</w:t>
      </w:r>
      <w:r w:rsidRPr="00103881">
        <w:t xml:space="preserve">The wise woman from Saida": the silent dialogue between Aggadah and Halakhah regarding women and marriage", </w:t>
      </w:r>
      <w:r w:rsidRPr="00103881">
        <w:rPr>
          <w:i/>
          <w:iCs/>
        </w:rPr>
        <w:t>AJS Review</w:t>
      </w:r>
      <w:r w:rsidRPr="00103881">
        <w:t xml:space="preserve"> 35,1 (2011) 23-34</w:t>
      </w:r>
      <w:r w:rsidRPr="00103881">
        <w:rPr>
          <w:rtl/>
        </w:rPr>
        <w:t>.</w:t>
      </w:r>
    </w:p>
    <w:p w14:paraId="341F62F5" w14:textId="77777777" w:rsidR="00984093" w:rsidRPr="00103881" w:rsidRDefault="00E13569" w:rsidP="00103881">
      <w:pPr>
        <w:pStyle w:val="afd"/>
        <w:numPr>
          <w:ilvl w:val="0"/>
          <w:numId w:val="17"/>
        </w:numPr>
        <w:bidi w:val="0"/>
      </w:pPr>
      <w:r w:rsidRPr="00103881">
        <w:t xml:space="preserve">Atzmon, Arnon, "The Same Fate Is in Store for the Righteous and the Wicked: </w:t>
      </w:r>
      <w:r w:rsidRPr="00103881">
        <w:br/>
        <w:t xml:space="preserve">Form and Content in Midreshei Aggadah", </w:t>
      </w:r>
      <w:r w:rsidRPr="00103881">
        <w:rPr>
          <w:i/>
          <w:iCs/>
        </w:rPr>
        <w:t>JSJ</w:t>
      </w:r>
      <w:r w:rsidRPr="00103881">
        <w:t xml:space="preserve"> 43/1 (2012), pp. 58–77.</w:t>
      </w:r>
    </w:p>
    <w:p w14:paraId="33241BDC" w14:textId="77777777" w:rsidR="00984093" w:rsidRPr="00103881" w:rsidRDefault="00984093" w:rsidP="00103881">
      <w:pPr>
        <w:pStyle w:val="afd"/>
        <w:numPr>
          <w:ilvl w:val="0"/>
          <w:numId w:val="17"/>
        </w:numPr>
        <w:bidi w:val="0"/>
        <w:rPr>
          <w:i/>
          <w:iCs/>
        </w:rPr>
      </w:pPr>
      <w:r w:rsidRPr="00103881">
        <w:lastRenderedPageBreak/>
        <w:t>Atzmon, Arnon, "'In the Third Month': Shavuot and the Redaction of Pesikta de-Rav Kahana 12,"</w:t>
      </w:r>
      <w:r w:rsidRPr="00103881">
        <w:rPr>
          <w:i/>
          <w:iCs/>
        </w:rPr>
        <w:t xml:space="preserve"> Journal of Ancient Judaism</w:t>
      </w:r>
      <w:r w:rsidRPr="00103881">
        <w:t>, 6/1 (2015), pp. 143–156.</w:t>
      </w:r>
    </w:p>
    <w:p w14:paraId="0B4D8C02" w14:textId="77777777" w:rsidR="00984093" w:rsidRPr="00103881" w:rsidRDefault="00984093" w:rsidP="00103881">
      <w:pPr>
        <w:pStyle w:val="afd"/>
        <w:numPr>
          <w:ilvl w:val="0"/>
          <w:numId w:val="17"/>
        </w:numPr>
        <w:bidi w:val="0"/>
      </w:pPr>
      <w:r w:rsidRPr="00103881">
        <w:t xml:space="preserve">Atzmon, Arnon, "From Census to Atonement: Parshat Shekalim in Pesikta de Rav Kahana and Pesikta Rabbati," </w:t>
      </w:r>
      <w:r w:rsidRPr="00103881">
        <w:rPr>
          <w:i/>
          <w:iCs/>
        </w:rPr>
        <w:t>Jewish Studies Quarterly</w:t>
      </w:r>
      <w:r w:rsidRPr="00103881">
        <w:t>, 22/4 (2015), pp. 352–376.</w:t>
      </w:r>
    </w:p>
    <w:p w14:paraId="3900EE56" w14:textId="77777777" w:rsidR="00984093" w:rsidRPr="00103881" w:rsidRDefault="00120DB2" w:rsidP="00103881">
      <w:pPr>
        <w:pStyle w:val="afd"/>
        <w:numPr>
          <w:ilvl w:val="0"/>
          <w:numId w:val="17"/>
        </w:numPr>
        <w:bidi w:val="0"/>
      </w:pPr>
      <w:r w:rsidRPr="00103881">
        <w:t>Visotzky, Burton L., "The misnomers "petihah" and "homiletic midrash" as descriptions for Leviticus Rabbah and Pesikta de-Rav Kahana", Jewish Studies Quarterly 18,1 (2011) 19-31.</w:t>
      </w:r>
    </w:p>
    <w:p w14:paraId="73C42943" w14:textId="77777777" w:rsidR="00984093" w:rsidRPr="00103881" w:rsidRDefault="00120DB2" w:rsidP="00103881">
      <w:pPr>
        <w:pStyle w:val="afd"/>
        <w:numPr>
          <w:ilvl w:val="0"/>
          <w:numId w:val="17"/>
        </w:numPr>
        <w:bidi w:val="0"/>
      </w:pPr>
      <w:r w:rsidRPr="00103881">
        <w:t xml:space="preserve">Hirshman, Marc, "Yearning for intimacy: "Pesikta d’Rav Kahana" and the Temple", </w:t>
      </w:r>
      <w:r w:rsidRPr="00103881">
        <w:rPr>
          <w:i/>
          <w:iCs/>
        </w:rPr>
        <w:t>Scriptural Exegesis</w:t>
      </w:r>
      <w:r w:rsidRPr="00103881">
        <w:t xml:space="preserve"> (2009) 135-145.</w:t>
      </w:r>
    </w:p>
    <w:p w14:paraId="476FEF3E" w14:textId="77777777" w:rsidR="00984093" w:rsidRPr="00103881" w:rsidRDefault="00E13569" w:rsidP="00103881">
      <w:pPr>
        <w:pStyle w:val="afd"/>
        <w:numPr>
          <w:ilvl w:val="0"/>
          <w:numId w:val="17"/>
        </w:numPr>
        <w:bidi w:val="0"/>
      </w:pPr>
      <w:r w:rsidRPr="00103881">
        <w:t>Barth, Lewis M., "The "three of rebuke and seven of consolation" sermons in the "Pesikta de Rav Kahana"", Journal of Jewish Studies 33,1-2 (1982) 503-515</w:t>
      </w:r>
    </w:p>
    <w:p w14:paraId="2C39F9C3" w14:textId="3B118F73" w:rsidR="00E13569" w:rsidRPr="00103881" w:rsidRDefault="00E13569" w:rsidP="00103881">
      <w:pPr>
        <w:pStyle w:val="afd"/>
        <w:numPr>
          <w:ilvl w:val="0"/>
          <w:numId w:val="17"/>
        </w:numPr>
        <w:bidi w:val="0"/>
      </w:pPr>
      <w:r w:rsidRPr="00103881">
        <w:t>Silberman, Lou H.</w:t>
      </w:r>
      <w:r w:rsidRPr="00103881">
        <w:tab/>
        <w:t>A, "theological treatise on forgiveness: chapter 23 of Pesiqta Derab Kahana</w:t>
      </w:r>
      <w:r w:rsidRPr="00103881">
        <w:tab/>
        <w:t>Studies in Aggadah", Targum and Jewish Liturgy (1981) 95-107</w:t>
      </w:r>
    </w:p>
    <w:p w14:paraId="2BB90732" w14:textId="2550F5DD" w:rsidR="00490355" w:rsidRPr="00103881" w:rsidRDefault="00490355" w:rsidP="00103881">
      <w:pPr>
        <w:bidi w:val="0"/>
      </w:pPr>
    </w:p>
    <w:p w14:paraId="7A85CDE5" w14:textId="510D4565" w:rsidR="00EA01A8" w:rsidRPr="00103881" w:rsidRDefault="00EA01A8" w:rsidP="00103881">
      <w:pPr>
        <w:rPr>
          <w:rtl/>
        </w:rPr>
      </w:pPr>
      <w:r w:rsidRPr="00103881">
        <w:rPr>
          <w:rtl/>
        </w:rPr>
        <w:t>ז. שם הקורס באנגלית:</w:t>
      </w:r>
    </w:p>
    <w:p w14:paraId="052C0FA2" w14:textId="2767CA21" w:rsidR="004C25C7" w:rsidRPr="00103881" w:rsidRDefault="004C25C7" w:rsidP="00103881">
      <w:pPr>
        <w:bidi w:val="0"/>
        <w:rPr>
          <w:b/>
          <w:bCs/>
          <w:color w:val="0000FF"/>
          <w:sz w:val="26"/>
          <w:szCs w:val="26"/>
        </w:rPr>
      </w:pPr>
      <w:r w:rsidRPr="00103881">
        <w:rPr>
          <w:shd w:val="clear" w:color="auto" w:fill="EEEEEE"/>
        </w:rPr>
        <w:t>Jewish Festivals in Midrash Aggadah</w:t>
      </w:r>
    </w:p>
    <w:p w14:paraId="2DF4F3E1" w14:textId="77777777" w:rsidR="00490355" w:rsidRPr="00103881" w:rsidRDefault="00490355" w:rsidP="00103881">
      <w:pPr>
        <w:rPr>
          <w:rtl/>
        </w:rPr>
      </w:pPr>
    </w:p>
    <w:sectPr w:rsidR="00490355" w:rsidRPr="00103881" w:rsidSect="008079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A2DF" w14:textId="77777777" w:rsidR="00FB16FB" w:rsidRDefault="00FB16FB" w:rsidP="00103881">
      <w:r>
        <w:separator/>
      </w:r>
    </w:p>
    <w:p w14:paraId="33FB1230" w14:textId="77777777" w:rsidR="00FB16FB" w:rsidRDefault="00FB16FB" w:rsidP="00103881"/>
    <w:p w14:paraId="41F598B9" w14:textId="77777777" w:rsidR="00FB16FB" w:rsidRDefault="00FB16FB" w:rsidP="00103881">
      <w:pPr>
        <w:bidi w:val="0"/>
      </w:pPr>
    </w:p>
    <w:p w14:paraId="05F0D085" w14:textId="77777777" w:rsidR="00FB16FB" w:rsidRDefault="00FB16FB" w:rsidP="00103881">
      <w:pPr>
        <w:bidi w:val="0"/>
      </w:pPr>
    </w:p>
  </w:endnote>
  <w:endnote w:type="continuationSeparator" w:id="0">
    <w:p w14:paraId="71D40750" w14:textId="77777777" w:rsidR="00FB16FB" w:rsidRDefault="00FB16FB" w:rsidP="00103881">
      <w:r>
        <w:continuationSeparator/>
      </w:r>
    </w:p>
    <w:p w14:paraId="6E2971A3" w14:textId="77777777" w:rsidR="00FB16FB" w:rsidRDefault="00FB16FB" w:rsidP="00103881"/>
    <w:p w14:paraId="46F9686F" w14:textId="77777777" w:rsidR="00FB16FB" w:rsidRDefault="00FB16FB" w:rsidP="00103881">
      <w:pPr>
        <w:bidi w:val="0"/>
      </w:pPr>
    </w:p>
    <w:p w14:paraId="69284BA7" w14:textId="77777777" w:rsidR="00FB16FB" w:rsidRDefault="00FB16FB" w:rsidP="00103881">
      <w:pPr>
        <w:bidi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2329" w14:textId="77777777" w:rsidR="00FB16FB" w:rsidRDefault="00FB16FB" w:rsidP="00103881">
      <w:r>
        <w:separator/>
      </w:r>
    </w:p>
    <w:p w14:paraId="52A0B7D5" w14:textId="77777777" w:rsidR="00FB16FB" w:rsidRDefault="00FB16FB" w:rsidP="00103881"/>
    <w:p w14:paraId="7AB93B58" w14:textId="77777777" w:rsidR="00FB16FB" w:rsidRDefault="00FB16FB" w:rsidP="00103881">
      <w:pPr>
        <w:bidi w:val="0"/>
      </w:pPr>
    </w:p>
    <w:p w14:paraId="2F269E6C" w14:textId="77777777" w:rsidR="00FB16FB" w:rsidRDefault="00FB16FB" w:rsidP="00103881">
      <w:pPr>
        <w:bidi w:val="0"/>
      </w:pPr>
    </w:p>
  </w:footnote>
  <w:footnote w:type="continuationSeparator" w:id="0">
    <w:p w14:paraId="2DC1BF63" w14:textId="77777777" w:rsidR="00FB16FB" w:rsidRDefault="00FB16FB" w:rsidP="00103881">
      <w:r>
        <w:continuationSeparator/>
      </w:r>
    </w:p>
    <w:p w14:paraId="7CD7FF52" w14:textId="77777777" w:rsidR="00FB16FB" w:rsidRDefault="00FB16FB" w:rsidP="00103881"/>
    <w:p w14:paraId="056ADC23" w14:textId="77777777" w:rsidR="00FB16FB" w:rsidRDefault="00FB16FB" w:rsidP="00103881">
      <w:pPr>
        <w:bidi w:val="0"/>
      </w:pPr>
    </w:p>
    <w:p w14:paraId="6F8BDB31" w14:textId="77777777" w:rsidR="00FB16FB" w:rsidRDefault="00FB16FB" w:rsidP="00103881">
      <w:pPr>
        <w:bidi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AF6"/>
    <w:multiLevelType w:val="hybridMultilevel"/>
    <w:tmpl w:val="43AA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64C0A"/>
    <w:multiLevelType w:val="hybridMultilevel"/>
    <w:tmpl w:val="B63A853C"/>
    <w:lvl w:ilvl="0" w:tplc="0672A42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401D"/>
    <w:multiLevelType w:val="hybridMultilevel"/>
    <w:tmpl w:val="62BC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388"/>
    <w:multiLevelType w:val="hybridMultilevel"/>
    <w:tmpl w:val="243C77AE"/>
    <w:lvl w:ilvl="0" w:tplc="A8DC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83BC7"/>
    <w:multiLevelType w:val="multilevel"/>
    <w:tmpl w:val="896EC5FA"/>
    <w:lvl w:ilvl="0">
      <w:start w:val="1"/>
      <w:numFmt w:val="decimal"/>
      <w:lvlText w:val="הרצאה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E54C5"/>
    <w:multiLevelType w:val="multilevel"/>
    <w:tmpl w:val="E21A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11136"/>
    <w:multiLevelType w:val="hybridMultilevel"/>
    <w:tmpl w:val="987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14E6"/>
    <w:multiLevelType w:val="hybridMultilevel"/>
    <w:tmpl w:val="A642D77C"/>
    <w:lvl w:ilvl="0" w:tplc="3FEC9588">
      <w:start w:val="1"/>
      <w:numFmt w:val="decimal"/>
      <w:lvlText w:val="%1."/>
      <w:lvlJc w:val="left"/>
      <w:pPr>
        <w:tabs>
          <w:tab w:val="num" w:pos="720"/>
        </w:tabs>
        <w:ind w:left="1191" w:hanging="831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638A2"/>
    <w:multiLevelType w:val="hybridMultilevel"/>
    <w:tmpl w:val="8B107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26A9E"/>
    <w:multiLevelType w:val="hybridMultilevel"/>
    <w:tmpl w:val="14F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5BC"/>
    <w:multiLevelType w:val="hybridMultilevel"/>
    <w:tmpl w:val="3C04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53093"/>
    <w:multiLevelType w:val="hybridMultilevel"/>
    <w:tmpl w:val="DFC2CE2C"/>
    <w:lvl w:ilvl="0" w:tplc="E81E675E">
      <w:start w:val="27"/>
      <w:numFmt w:val="decimal"/>
      <w:lvlText w:val="%1"/>
      <w:lvlJc w:val="left"/>
      <w:pPr>
        <w:tabs>
          <w:tab w:val="num" w:pos="-71"/>
        </w:tabs>
        <w:ind w:left="-71" w:hanging="360"/>
      </w:pPr>
      <w:rPr>
        <w:rFonts w:hint="default"/>
      </w:rPr>
    </w:lvl>
    <w:lvl w:ilvl="1" w:tplc="24DA49FE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9"/>
        </w:tabs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9"/>
        </w:tabs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9"/>
        </w:tabs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9"/>
        </w:tabs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9"/>
        </w:tabs>
        <w:ind w:left="5689" w:hanging="180"/>
      </w:pPr>
    </w:lvl>
  </w:abstractNum>
  <w:abstractNum w:abstractNumId="12" w15:restartNumberingAfterBreak="0">
    <w:nsid w:val="5BE47416"/>
    <w:multiLevelType w:val="hybridMultilevel"/>
    <w:tmpl w:val="92D0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A6369"/>
    <w:multiLevelType w:val="hybridMultilevel"/>
    <w:tmpl w:val="06E6DFFE"/>
    <w:lvl w:ilvl="0" w:tplc="9EDAAA5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5EC1621E"/>
    <w:multiLevelType w:val="hybridMultilevel"/>
    <w:tmpl w:val="F138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711DA"/>
    <w:multiLevelType w:val="hybridMultilevel"/>
    <w:tmpl w:val="F1E6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C3C"/>
    <w:multiLevelType w:val="hybridMultilevel"/>
    <w:tmpl w:val="6498B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D44C1"/>
    <w:multiLevelType w:val="hybridMultilevel"/>
    <w:tmpl w:val="B05E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7E24"/>
    <w:multiLevelType w:val="hybridMultilevel"/>
    <w:tmpl w:val="9276282A"/>
    <w:lvl w:ilvl="0" w:tplc="3C7CC5DA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7"/>
  </w:num>
  <w:num w:numId="15">
    <w:abstractNumId w:val="9"/>
  </w:num>
  <w:num w:numId="16">
    <w:abstractNumId w:val="15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3"/>
    <w:rsid w:val="00036640"/>
    <w:rsid w:val="000436E9"/>
    <w:rsid w:val="00061FFA"/>
    <w:rsid w:val="00074C98"/>
    <w:rsid w:val="000A7FA9"/>
    <w:rsid w:val="00103881"/>
    <w:rsid w:val="00117ED1"/>
    <w:rsid w:val="00120DB2"/>
    <w:rsid w:val="0018372A"/>
    <w:rsid w:val="001B5EC6"/>
    <w:rsid w:val="001D0853"/>
    <w:rsid w:val="001E3993"/>
    <w:rsid w:val="001E445D"/>
    <w:rsid w:val="00296EFF"/>
    <w:rsid w:val="002B5E6D"/>
    <w:rsid w:val="002D39D7"/>
    <w:rsid w:val="002F6198"/>
    <w:rsid w:val="00302580"/>
    <w:rsid w:val="00314563"/>
    <w:rsid w:val="003170F4"/>
    <w:rsid w:val="0031796C"/>
    <w:rsid w:val="00361B33"/>
    <w:rsid w:val="003802A1"/>
    <w:rsid w:val="003D67D7"/>
    <w:rsid w:val="003F6FB9"/>
    <w:rsid w:val="0046413A"/>
    <w:rsid w:val="0047664B"/>
    <w:rsid w:val="00490355"/>
    <w:rsid w:val="004C25C7"/>
    <w:rsid w:val="004D09A4"/>
    <w:rsid w:val="004E51EE"/>
    <w:rsid w:val="004F36E9"/>
    <w:rsid w:val="004F3B43"/>
    <w:rsid w:val="00525303"/>
    <w:rsid w:val="00552D04"/>
    <w:rsid w:val="00560674"/>
    <w:rsid w:val="00573779"/>
    <w:rsid w:val="0059149F"/>
    <w:rsid w:val="0059428C"/>
    <w:rsid w:val="00596A58"/>
    <w:rsid w:val="005A51B0"/>
    <w:rsid w:val="005B11BD"/>
    <w:rsid w:val="005D4BFE"/>
    <w:rsid w:val="005F0A1A"/>
    <w:rsid w:val="006351F4"/>
    <w:rsid w:val="006513D9"/>
    <w:rsid w:val="00656D85"/>
    <w:rsid w:val="0066041E"/>
    <w:rsid w:val="0066412E"/>
    <w:rsid w:val="00665836"/>
    <w:rsid w:val="006718AC"/>
    <w:rsid w:val="006903F9"/>
    <w:rsid w:val="00691215"/>
    <w:rsid w:val="0069399F"/>
    <w:rsid w:val="00695C79"/>
    <w:rsid w:val="006D1053"/>
    <w:rsid w:val="006E43D5"/>
    <w:rsid w:val="00742DF5"/>
    <w:rsid w:val="00780464"/>
    <w:rsid w:val="007E70DD"/>
    <w:rsid w:val="00806CF6"/>
    <w:rsid w:val="008079B3"/>
    <w:rsid w:val="00842714"/>
    <w:rsid w:val="0085426A"/>
    <w:rsid w:val="0086568F"/>
    <w:rsid w:val="00897ED9"/>
    <w:rsid w:val="008B75E3"/>
    <w:rsid w:val="00933C50"/>
    <w:rsid w:val="00934C05"/>
    <w:rsid w:val="009765F1"/>
    <w:rsid w:val="00984093"/>
    <w:rsid w:val="00993494"/>
    <w:rsid w:val="009A0C83"/>
    <w:rsid w:val="009B6823"/>
    <w:rsid w:val="009D0299"/>
    <w:rsid w:val="009D1384"/>
    <w:rsid w:val="009F2828"/>
    <w:rsid w:val="00A00DC0"/>
    <w:rsid w:val="00A02CCE"/>
    <w:rsid w:val="00A56845"/>
    <w:rsid w:val="00A947A0"/>
    <w:rsid w:val="00AA0DD7"/>
    <w:rsid w:val="00AC2B8D"/>
    <w:rsid w:val="00AC7D43"/>
    <w:rsid w:val="00AD140B"/>
    <w:rsid w:val="00AE2C0B"/>
    <w:rsid w:val="00AE5A28"/>
    <w:rsid w:val="00AE5CCC"/>
    <w:rsid w:val="00B13D24"/>
    <w:rsid w:val="00B51CFB"/>
    <w:rsid w:val="00B60A16"/>
    <w:rsid w:val="00B611DB"/>
    <w:rsid w:val="00B7676A"/>
    <w:rsid w:val="00BB5E59"/>
    <w:rsid w:val="00BC2D82"/>
    <w:rsid w:val="00BF280E"/>
    <w:rsid w:val="00BF735F"/>
    <w:rsid w:val="00C14D0F"/>
    <w:rsid w:val="00C209DC"/>
    <w:rsid w:val="00C51B55"/>
    <w:rsid w:val="00D0127E"/>
    <w:rsid w:val="00D2657B"/>
    <w:rsid w:val="00D270D2"/>
    <w:rsid w:val="00D520BC"/>
    <w:rsid w:val="00D56B9C"/>
    <w:rsid w:val="00D948D0"/>
    <w:rsid w:val="00DA51FB"/>
    <w:rsid w:val="00DD4E06"/>
    <w:rsid w:val="00E01A33"/>
    <w:rsid w:val="00E13569"/>
    <w:rsid w:val="00E260CA"/>
    <w:rsid w:val="00E31D92"/>
    <w:rsid w:val="00E40FEB"/>
    <w:rsid w:val="00E63A86"/>
    <w:rsid w:val="00E754D6"/>
    <w:rsid w:val="00E767DB"/>
    <w:rsid w:val="00E81F00"/>
    <w:rsid w:val="00E8487B"/>
    <w:rsid w:val="00E84F6A"/>
    <w:rsid w:val="00EA01A8"/>
    <w:rsid w:val="00EE48E7"/>
    <w:rsid w:val="00F25C5B"/>
    <w:rsid w:val="00F267A8"/>
    <w:rsid w:val="00F83476"/>
    <w:rsid w:val="00F839F4"/>
    <w:rsid w:val="00F9263A"/>
    <w:rsid w:val="00FA5A5C"/>
    <w:rsid w:val="00FB16FB"/>
    <w:rsid w:val="00FB2F9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C67CF4"/>
  <w15:docId w15:val="{49FB3CAB-B06B-470C-A886-3ADEB8F3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103881"/>
    <w:pPr>
      <w:tabs>
        <w:tab w:val="left" w:pos="408"/>
      </w:tabs>
      <w:autoSpaceDE w:val="0"/>
      <w:autoSpaceDN w:val="0"/>
      <w:bidi/>
      <w:adjustRightInd w:val="0"/>
      <w:spacing w:line="360" w:lineRule="auto"/>
    </w:pPr>
    <w:rPr>
      <w:rFonts w:asciiTheme="minorBidi" w:hAnsiTheme="minorBidi" w:cstheme="minorBidi"/>
      <w:color w:val="000000"/>
      <w:sz w:val="28"/>
      <w:szCs w:val="28"/>
    </w:rPr>
  </w:style>
  <w:style w:type="paragraph" w:styleId="1">
    <w:name w:val="heading 1"/>
    <w:basedOn w:val="a0"/>
    <w:next w:val="a0"/>
    <w:qFormat/>
    <w:rsid w:val="00AE2C0B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</w:rPr>
  </w:style>
  <w:style w:type="paragraph" w:styleId="2">
    <w:name w:val="heading 2"/>
    <w:aliases w:val="Heading 2"/>
    <w:basedOn w:val="a0"/>
    <w:next w:val="a0"/>
    <w:qFormat/>
    <w:rsid w:val="00AE2C0B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AE2C0B"/>
    <w:pPr>
      <w:keepNext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0"/>
    <w:next w:val="a0"/>
    <w:qFormat/>
    <w:rsid w:val="00D2657B"/>
    <w:pPr>
      <w:keepNext/>
      <w:spacing w:before="240" w:after="60"/>
      <w:outlineLvl w:val="3"/>
    </w:pPr>
    <w:rPr>
      <w:b/>
      <w:bCs/>
    </w:rPr>
  </w:style>
  <w:style w:type="paragraph" w:styleId="5">
    <w:name w:val="heading 5"/>
    <w:aliases w:val="Heading 5"/>
    <w:basedOn w:val="a0"/>
    <w:next w:val="a0"/>
    <w:qFormat/>
    <w:rsid w:val="00AE2C0B"/>
    <w:pPr>
      <w:keepNext/>
      <w:spacing w:before="60" w:after="60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גוף טקסט תו"/>
    <w:link w:val="a5"/>
    <w:rsid w:val="00AE2C0B"/>
    <w:rPr>
      <w:color w:val="000000"/>
      <w:sz w:val="24"/>
      <w:szCs w:val="24"/>
      <w:lang w:val="en-US" w:eastAsia="en-US" w:bidi="he-IL"/>
    </w:rPr>
  </w:style>
  <w:style w:type="paragraph" w:styleId="a5">
    <w:name w:val="Body Text"/>
    <w:basedOn w:val="a0"/>
    <w:link w:val="a4"/>
    <w:rsid w:val="00AE2C0B"/>
    <w:pPr>
      <w:spacing w:after="120"/>
    </w:pPr>
  </w:style>
  <w:style w:type="character" w:styleId="Hyperlink">
    <w:name w:val="Hyperlink"/>
    <w:basedOn w:val="a1"/>
    <w:rsid w:val="00AE2C0B"/>
    <w:rPr>
      <w:rFonts w:cs="Times New Roman"/>
      <w:color w:val="0000FF"/>
      <w:u w:val="single"/>
    </w:rPr>
  </w:style>
  <w:style w:type="character" w:styleId="a6">
    <w:name w:val="footnote reference"/>
    <w:aliases w:val="Footnote Reference"/>
    <w:basedOn w:val="a1"/>
    <w:semiHidden/>
    <w:rsid w:val="00AE2C0B"/>
    <w:rPr>
      <w:rFonts w:ascii="Times New Roman" w:hAnsi="Times New Roman" w:cs="David"/>
      <w:sz w:val="18"/>
      <w:szCs w:val="18"/>
      <w:vertAlign w:val="superscript"/>
      <w:lang w:bidi="he-IL"/>
    </w:rPr>
  </w:style>
  <w:style w:type="table" w:styleId="a7">
    <w:name w:val="Table Grid"/>
    <w:basedOn w:val="a2"/>
    <w:rsid w:val="00AE2C0B"/>
    <w:pPr>
      <w:autoSpaceDE w:val="0"/>
      <w:autoSpaceDN w:val="0"/>
      <w:bidi/>
      <w:adjustRightInd w:val="0"/>
    </w:pPr>
    <w:rPr>
      <w:rFonts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Courier New"/>
        <w:sz w:val="20"/>
        <w:szCs w:val="20"/>
      </w:rPr>
    </w:tblStylePr>
  </w:style>
  <w:style w:type="paragraph" w:styleId="a8">
    <w:name w:val="Balloon Text"/>
    <w:basedOn w:val="a0"/>
    <w:semiHidden/>
    <w:rsid w:val="00AE2C0B"/>
    <w:rPr>
      <w:rFonts w:ascii="Tahoma" w:hAnsi="Tahoma" w:cs="Tahoma"/>
      <w:sz w:val="16"/>
      <w:szCs w:val="16"/>
    </w:rPr>
  </w:style>
  <w:style w:type="paragraph" w:styleId="a9">
    <w:name w:val="footnote text"/>
    <w:aliases w:val="Footnote Text,Footnote Text1,Footnote Text2,Footnote Text3"/>
    <w:basedOn w:val="a0"/>
    <w:autoRedefine/>
    <w:rsid w:val="00AE2C0B"/>
    <w:pPr>
      <w:widowControl w:val="0"/>
      <w:tabs>
        <w:tab w:val="clear" w:pos="408"/>
        <w:tab w:val="left" w:pos="386"/>
        <w:tab w:val="left" w:pos="4886"/>
      </w:tabs>
      <w:ind w:left="408" w:hanging="408"/>
    </w:pPr>
    <w:rPr>
      <w:sz w:val="20"/>
      <w:szCs w:val="20"/>
    </w:rPr>
  </w:style>
  <w:style w:type="character" w:customStyle="1" w:styleId="aa">
    <w:name w:val="כותרת טבלה"/>
    <w:basedOn w:val="a1"/>
    <w:rsid w:val="00AE2C0B"/>
    <w:rPr>
      <w:rFonts w:cs="Times New Roman"/>
      <w:bCs/>
      <w:sz w:val="24"/>
      <w:szCs w:val="24"/>
    </w:rPr>
  </w:style>
  <w:style w:type="character" w:customStyle="1" w:styleId="20">
    <w:name w:val="כותרת טבלה2"/>
    <w:basedOn w:val="a1"/>
    <w:rsid w:val="00AE2C0B"/>
    <w:rPr>
      <w:rFonts w:cs="Times New Roman"/>
      <w:bCs/>
      <w:sz w:val="22"/>
      <w:szCs w:val="22"/>
    </w:rPr>
  </w:style>
  <w:style w:type="paragraph" w:styleId="ab">
    <w:name w:val="header"/>
    <w:aliases w:val="Header"/>
    <w:basedOn w:val="a0"/>
    <w:link w:val="ac"/>
    <w:uiPriority w:val="99"/>
    <w:rsid w:val="00AE2C0B"/>
    <w:pPr>
      <w:tabs>
        <w:tab w:val="center" w:pos="4153"/>
        <w:tab w:val="right" w:pos="8306"/>
      </w:tabs>
    </w:pPr>
  </w:style>
  <w:style w:type="paragraph" w:styleId="ad">
    <w:name w:val="footer"/>
    <w:basedOn w:val="a0"/>
    <w:rsid w:val="00AE2C0B"/>
    <w:pPr>
      <w:tabs>
        <w:tab w:val="center" w:pos="4153"/>
        <w:tab w:val="right" w:pos="8306"/>
      </w:tabs>
    </w:pPr>
  </w:style>
  <w:style w:type="paragraph" w:customStyle="1" w:styleId="ae">
    <w:name w:val="כותרת תרשים"/>
    <w:basedOn w:val="2"/>
    <w:rsid w:val="00AE2C0B"/>
    <w:pPr>
      <w:spacing w:before="120"/>
    </w:pPr>
    <w:rPr>
      <w:szCs w:val="20"/>
    </w:rPr>
  </w:style>
  <w:style w:type="paragraph" w:styleId="af">
    <w:name w:val="caption"/>
    <w:basedOn w:val="a0"/>
    <w:next w:val="a0"/>
    <w:qFormat/>
    <w:rsid w:val="00AE2C0B"/>
    <w:pPr>
      <w:spacing w:before="120" w:after="120"/>
      <w:jc w:val="center"/>
    </w:pPr>
    <w:rPr>
      <w:b/>
      <w:bCs/>
      <w:sz w:val="20"/>
      <w:szCs w:val="20"/>
    </w:rPr>
  </w:style>
  <w:style w:type="paragraph" w:styleId="af0">
    <w:name w:val="Body Text Indent"/>
    <w:basedOn w:val="a0"/>
    <w:rsid w:val="00AE2C0B"/>
    <w:pPr>
      <w:tabs>
        <w:tab w:val="left" w:pos="5786"/>
      </w:tabs>
      <w:spacing w:after="120"/>
      <w:ind w:left="283"/>
    </w:pPr>
    <w:rPr>
      <w:rFonts w:cs="FrankRuehl"/>
    </w:rPr>
  </w:style>
  <w:style w:type="character" w:styleId="af1">
    <w:name w:val="page number"/>
    <w:aliases w:val="Page Number"/>
    <w:basedOn w:val="a1"/>
    <w:rsid w:val="00AE2C0B"/>
    <w:rPr>
      <w:rFonts w:cs="Times New Roman"/>
      <w:sz w:val="18"/>
      <w:szCs w:val="18"/>
    </w:rPr>
  </w:style>
  <w:style w:type="paragraph" w:styleId="af2">
    <w:name w:val="Document Map"/>
    <w:basedOn w:val="a0"/>
    <w:semiHidden/>
    <w:rsid w:val="00AE2C0B"/>
    <w:pPr>
      <w:shd w:val="clear" w:color="auto" w:fill="000080"/>
    </w:pPr>
    <w:rPr>
      <w:rFonts w:ascii="Tahoma" w:hAnsi="Tahoma" w:cs="Tahoma"/>
    </w:rPr>
  </w:style>
  <w:style w:type="paragraph" w:customStyle="1" w:styleId="CourierNew">
    <w:name w:val="סגנון (מורכב) Courier New (מורכב) מודגש מרווח בין שורות:  שורה וח..."/>
    <w:basedOn w:val="a0"/>
    <w:rsid w:val="00AE2C0B"/>
    <w:rPr>
      <w:bCs/>
      <w:szCs w:val="22"/>
    </w:rPr>
  </w:style>
  <w:style w:type="paragraph" w:customStyle="1" w:styleId="CourierNew12">
    <w:name w:val="סגנון (מורכב) Courier New ‏12 נק מודגש מרווח בין שורות:  שורה וח..."/>
    <w:basedOn w:val="a0"/>
    <w:rsid w:val="00AE2C0B"/>
    <w:rPr>
      <w:rFonts w:cs="Courier New"/>
      <w:b/>
      <w:bCs/>
    </w:rPr>
  </w:style>
  <w:style w:type="paragraph" w:customStyle="1" w:styleId="CourierNew120">
    <w:name w:val="סגנון (מורכב) Courier New ‏12 נק מרווח בין שורות:  שורה וחצי"/>
    <w:basedOn w:val="a0"/>
    <w:rsid w:val="00AE2C0B"/>
    <w:rPr>
      <w:szCs w:val="22"/>
    </w:rPr>
  </w:style>
  <w:style w:type="paragraph" w:customStyle="1" w:styleId="af3">
    <w:name w:val="סגנון כיתוב + ממורכז"/>
    <w:basedOn w:val="af"/>
    <w:rsid w:val="00AE2C0B"/>
    <w:pPr>
      <w:spacing w:before="0" w:after="0"/>
    </w:pPr>
  </w:style>
  <w:style w:type="paragraph" w:customStyle="1" w:styleId="10">
    <w:name w:val="סגנון כיתוב + ממורכז1"/>
    <w:basedOn w:val="af"/>
    <w:rsid w:val="00AE2C0B"/>
    <w:pPr>
      <w:spacing w:before="0" w:after="0"/>
    </w:pPr>
  </w:style>
  <w:style w:type="paragraph" w:customStyle="1" w:styleId="af4">
    <w:name w:val="סגנון מרווח בין שורות:  שורה וחצי"/>
    <w:basedOn w:val="a0"/>
    <w:rsid w:val="00AE2C0B"/>
  </w:style>
  <w:style w:type="paragraph" w:customStyle="1" w:styleId="FrankRuehl12">
    <w:name w:val="סגנון סגנון ביבליוגרפיה + (מורכב) FrankRuehl תו + ‏12 נק נטוי תו תו תו תו"/>
    <w:basedOn w:val="a0"/>
    <w:link w:val="FrankRuehl120"/>
    <w:rsid w:val="00AE2C0B"/>
    <w:pPr>
      <w:autoSpaceDE/>
      <w:autoSpaceDN/>
      <w:adjustRightInd/>
      <w:ind w:left="680" w:hanging="680"/>
    </w:pPr>
    <w:rPr>
      <w:rFonts w:cs="FrankRuehl"/>
      <w:i/>
      <w:iCs/>
      <w:sz w:val="22"/>
      <w:lang w:eastAsia="he-IL"/>
    </w:rPr>
  </w:style>
  <w:style w:type="character" w:customStyle="1" w:styleId="FrankRuehl120">
    <w:name w:val="סגנון סגנון ביבליוגרפיה + (מורכב) FrankRuehl תו + ‏12 נק נטוי תו תו תו תו תו"/>
    <w:basedOn w:val="a1"/>
    <w:link w:val="FrankRuehl12"/>
    <w:rsid w:val="00AE2C0B"/>
    <w:rPr>
      <w:rFonts w:cs="FrankRuehl"/>
      <w:i/>
      <w:iCs/>
      <w:color w:val="000000"/>
      <w:sz w:val="22"/>
      <w:szCs w:val="24"/>
      <w:lang w:val="en-US" w:eastAsia="he-IL" w:bidi="he-IL"/>
    </w:rPr>
  </w:style>
  <w:style w:type="paragraph" w:customStyle="1" w:styleId="FrankRuehl121">
    <w:name w:val="סגנון סגנון ביבליוגרפיה + (מורכב) FrankRuehl תו + ‏12 נק נטוי תו תו תו תו תו תו תו"/>
    <w:basedOn w:val="a0"/>
    <w:link w:val="FrankRuehl122"/>
    <w:rsid w:val="00AE2C0B"/>
    <w:pPr>
      <w:ind w:left="680" w:hanging="680"/>
    </w:pPr>
    <w:rPr>
      <w:rFonts w:cs="FrankRuehl"/>
      <w:i/>
      <w:iCs/>
      <w:sz w:val="22"/>
      <w:lang w:eastAsia="he-IL"/>
    </w:rPr>
  </w:style>
  <w:style w:type="character" w:customStyle="1" w:styleId="FrankRuehl122">
    <w:name w:val="סגנון סגנון ביבליוגרפיה + (מורכב) FrankRuehl תו + ‏12 נק נטוי תו תו תו תו תו תו תו תו"/>
    <w:basedOn w:val="a1"/>
    <w:link w:val="FrankRuehl121"/>
    <w:rsid w:val="00AE2C0B"/>
    <w:rPr>
      <w:rFonts w:cs="FrankRuehl"/>
      <w:i/>
      <w:iCs/>
      <w:color w:val="000000"/>
      <w:sz w:val="22"/>
      <w:szCs w:val="24"/>
      <w:lang w:val="en-US" w:eastAsia="he-IL" w:bidi="he-IL"/>
    </w:rPr>
  </w:style>
  <w:style w:type="paragraph" w:customStyle="1" w:styleId="11">
    <w:name w:val="סגנון סגנון סגנון טבלה + שמאל מרווח בין שורות:  שורה וחצי + מרווח ב...1"/>
    <w:rsid w:val="00AE2C0B"/>
    <w:pPr>
      <w:widowControl w:val="0"/>
    </w:pPr>
    <w:rPr>
      <w:rFonts w:cs="Courier New"/>
    </w:rPr>
  </w:style>
  <w:style w:type="table" w:customStyle="1" w:styleId="12">
    <w:name w:val="סגנון1"/>
    <w:rsid w:val="00AE2C0B"/>
    <w:pPr>
      <w:jc w:val="right"/>
    </w:pPr>
    <w:rPr>
      <w:rFonts w:cs="Courier New"/>
      <w:szCs w:val="16"/>
    </w:rPr>
    <w:tblPr>
      <w:jc w:val="right"/>
      <w:tblCellMar>
        <w:top w:w="0" w:type="dxa"/>
        <w:left w:w="57" w:type="dxa"/>
        <w:bottom w:w="0" w:type="dxa"/>
        <w:right w:w="57" w:type="dxa"/>
      </w:tblCellMar>
    </w:tblPr>
    <w:trPr>
      <w:jc w:val="right"/>
    </w:trPr>
  </w:style>
  <w:style w:type="paragraph" w:customStyle="1" w:styleId="af5">
    <w:name w:val="סינופטי"/>
    <w:basedOn w:val="a0"/>
    <w:rsid w:val="00AE2C0B"/>
    <w:pPr>
      <w:spacing w:line="240" w:lineRule="auto"/>
      <w:jc w:val="right"/>
    </w:pPr>
    <w:rPr>
      <w:rFonts w:ascii="Courier New" w:hAnsi="Courier New" w:cs="Courier New"/>
      <w:bCs/>
      <w:sz w:val="22"/>
      <w:szCs w:val="20"/>
    </w:rPr>
  </w:style>
  <w:style w:type="paragraph" w:customStyle="1" w:styleId="af6">
    <w:name w:val="ציטוטים"/>
    <w:basedOn w:val="a0"/>
    <w:autoRedefine/>
    <w:rsid w:val="00AE2C0B"/>
    <w:pPr>
      <w:tabs>
        <w:tab w:val="left" w:pos="2040"/>
      </w:tabs>
      <w:spacing w:before="120" w:after="120"/>
      <w:ind w:left="482"/>
    </w:pPr>
    <w:rPr>
      <w:rFonts w:ascii="Arial" w:hAnsi="Arial"/>
      <w:b/>
    </w:rPr>
  </w:style>
  <w:style w:type="paragraph" w:customStyle="1" w:styleId="a">
    <w:name w:val="קיצור ביב"/>
    <w:basedOn w:val="a0"/>
    <w:rsid w:val="00AE2C0B"/>
    <w:pPr>
      <w:numPr>
        <w:numId w:val="1"/>
      </w:numPr>
      <w:tabs>
        <w:tab w:val="clear" w:pos="927"/>
        <w:tab w:val="num" w:pos="720"/>
      </w:tabs>
      <w:ind w:left="720"/>
    </w:pPr>
    <w:rPr>
      <w:rFonts w:cs="David"/>
    </w:rPr>
  </w:style>
  <w:style w:type="paragraph" w:customStyle="1" w:styleId="af7">
    <w:name w:val="רווח"/>
    <w:basedOn w:val="a0"/>
    <w:rsid w:val="00AE2C0B"/>
    <w:pPr>
      <w:spacing w:line="240" w:lineRule="auto"/>
    </w:pPr>
  </w:style>
  <w:style w:type="paragraph" w:customStyle="1" w:styleId="af8">
    <w:name w:val="רווחבשולים"/>
    <w:basedOn w:val="a9"/>
    <w:rsid w:val="00AE2C0B"/>
    <w:pPr>
      <w:spacing w:line="240" w:lineRule="auto"/>
    </w:pPr>
  </w:style>
  <w:style w:type="paragraph" w:customStyle="1" w:styleId="af9">
    <w:name w:val="תרשים"/>
    <w:rsid w:val="00AE2C0B"/>
    <w:pPr>
      <w:jc w:val="center"/>
    </w:pPr>
    <w:rPr>
      <w:rFonts w:cs="FrankRuehl"/>
      <w:bCs/>
      <w:color w:val="000000"/>
      <w:sz w:val="28"/>
      <w:szCs w:val="36"/>
    </w:rPr>
  </w:style>
  <w:style w:type="paragraph" w:customStyle="1" w:styleId="afa">
    <w:name w:val="ביב עברית"/>
    <w:basedOn w:val="afb"/>
    <w:rsid w:val="007E70DD"/>
    <w:pPr>
      <w:tabs>
        <w:tab w:val="clear" w:pos="408"/>
        <w:tab w:val="left" w:pos="368"/>
        <w:tab w:val="right" w:pos="8306"/>
      </w:tabs>
      <w:overflowPunct w:val="0"/>
      <w:autoSpaceDE/>
      <w:autoSpaceDN/>
      <w:adjustRightInd/>
      <w:ind w:left="0" w:right="284" w:hanging="284"/>
      <w:textAlignment w:val="baseline"/>
    </w:pPr>
    <w:rPr>
      <w:color w:val="auto"/>
      <w:lang w:eastAsia="he-IL"/>
    </w:rPr>
  </w:style>
  <w:style w:type="paragraph" w:styleId="afb">
    <w:name w:val="List"/>
    <w:basedOn w:val="a0"/>
    <w:rsid w:val="007E70DD"/>
    <w:pPr>
      <w:ind w:left="283" w:hanging="283"/>
    </w:pPr>
  </w:style>
  <w:style w:type="paragraph" w:customStyle="1" w:styleId="bibliog">
    <w:name w:val="bibliog"/>
    <w:basedOn w:val="a0"/>
    <w:rsid w:val="00036640"/>
    <w:pPr>
      <w:tabs>
        <w:tab w:val="clear" w:pos="408"/>
      </w:tabs>
      <w:autoSpaceDE/>
      <w:autoSpaceDN/>
      <w:adjustRightInd/>
      <w:spacing w:line="300" w:lineRule="exact"/>
      <w:ind w:left="432" w:right="432" w:hanging="432"/>
    </w:pPr>
    <w:rPr>
      <w:rFonts w:cs="FrankRuehl"/>
      <w:color w:val="auto"/>
      <w:sz w:val="20"/>
    </w:rPr>
  </w:style>
  <w:style w:type="paragraph" w:styleId="afc">
    <w:name w:val="Bibliography"/>
    <w:basedOn w:val="a0"/>
    <w:rsid w:val="00036640"/>
    <w:pPr>
      <w:ind w:left="408" w:hanging="408"/>
    </w:pPr>
  </w:style>
  <w:style w:type="paragraph" w:styleId="afd">
    <w:name w:val="List Paragraph"/>
    <w:basedOn w:val="a0"/>
    <w:uiPriority w:val="34"/>
    <w:qFormat/>
    <w:rsid w:val="00120DB2"/>
    <w:pPr>
      <w:ind w:left="720"/>
      <w:contextualSpacing/>
    </w:pPr>
  </w:style>
  <w:style w:type="character" w:customStyle="1" w:styleId="ac">
    <w:name w:val="כותרת עליונה תו"/>
    <w:aliases w:val="Header תו"/>
    <w:basedOn w:val="a1"/>
    <w:link w:val="ab"/>
    <w:uiPriority w:val="99"/>
    <w:rsid w:val="0030258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מבוא לספרות המדרש והאגדה – סיליבוס</vt:lpstr>
    </vt:vector>
  </TitlesOfParts>
  <Company>בר אילן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מבוא לספרות המדרש והאגדה – סיליבוס</dc:title>
  <dc:creator>ארנון עצמון</dc:creator>
  <cp:lastModifiedBy>Noa Ramati</cp:lastModifiedBy>
  <cp:revision>4</cp:revision>
  <cp:lastPrinted>2006-12-11T07:44:00Z</cp:lastPrinted>
  <dcterms:created xsi:type="dcterms:W3CDTF">2019-04-29T08:08:00Z</dcterms:created>
  <dcterms:modified xsi:type="dcterms:W3CDTF">2019-05-20T12:09:00Z</dcterms:modified>
</cp:coreProperties>
</file>