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02" w:type="dxa"/>
        <w:tblInd w:w="26" w:type="dxa"/>
        <w:tblLook w:val="01E0" w:firstRow="1" w:lastRow="1" w:firstColumn="1" w:lastColumn="1" w:noHBand="0" w:noVBand="0"/>
      </w:tblPr>
      <w:tblGrid>
        <w:gridCol w:w="9402"/>
      </w:tblGrid>
      <w:tr w:rsidR="008A7B02" w:rsidRPr="00491C2E" w:rsidTr="00D03F90">
        <w:trPr>
          <w:trHeight w:val="315"/>
        </w:trPr>
        <w:tc>
          <w:tcPr>
            <w:tcW w:w="9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C2E" w:rsidRPr="00503BF0" w:rsidRDefault="00491C2E" w:rsidP="00DE5955">
            <w:pPr>
              <w:pStyle w:val="2"/>
              <w:spacing w:line="360" w:lineRule="auto"/>
              <w:ind w:left="742" w:right="233" w:firstLine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03BF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מרדכי סבתו,</w:t>
            </w:r>
            <w:r w:rsidR="009B35B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אוניבר</w:t>
            </w:r>
            <w:bookmarkStart w:id="0" w:name="_GoBack"/>
            <w:bookmarkEnd w:id="0"/>
            <w:r w:rsidR="009B35B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סיטת בר-אילן,</w:t>
            </w:r>
            <w:r w:rsidRPr="00503BF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המחלקה לתלמוד, רשימת פרסומים</w:t>
            </w:r>
          </w:p>
          <w:p w:rsidR="0004294E" w:rsidRDefault="0004294E" w:rsidP="00DE5955">
            <w:pPr>
              <w:pStyle w:val="2"/>
              <w:spacing w:line="360" w:lineRule="auto"/>
              <w:ind w:left="742" w:right="233" w:firstLine="0"/>
              <w:jc w:val="both"/>
              <w:rPr>
                <w:b/>
                <w:bCs/>
                <w:szCs w:val="24"/>
                <w:u w:val="single"/>
                <w:rtl/>
              </w:rPr>
            </w:pPr>
          </w:p>
          <w:p w:rsidR="00491C2E" w:rsidRPr="00491C2E" w:rsidRDefault="00491C2E" w:rsidP="00DE5955">
            <w:pPr>
              <w:pStyle w:val="2"/>
              <w:spacing w:line="360" w:lineRule="auto"/>
              <w:ind w:left="742" w:right="233" w:firstLine="0"/>
              <w:jc w:val="both"/>
              <w:rPr>
                <w:b/>
                <w:bCs/>
                <w:szCs w:val="24"/>
                <w:u w:val="single"/>
              </w:rPr>
            </w:pPr>
            <w:r>
              <w:rPr>
                <w:rFonts w:hint="cs"/>
                <w:b/>
                <w:bCs/>
                <w:szCs w:val="24"/>
                <w:u w:val="single"/>
                <w:rtl/>
              </w:rPr>
              <w:t>מאמרים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ועתה </w:t>
            </w:r>
            <w:proofErr w:type="spellStart"/>
            <w:r w:rsidRPr="00491C2E">
              <w:rPr>
                <w:rFonts w:hint="cs"/>
                <w:szCs w:val="24"/>
                <w:rtl/>
              </w:rPr>
              <w:t>אשיבנו</w:t>
            </w:r>
            <w:proofErr w:type="spellEnd"/>
            <w:r w:rsidRPr="00491C2E">
              <w:rPr>
                <w:rFonts w:hint="cs"/>
                <w:szCs w:val="24"/>
                <w:rtl/>
              </w:rPr>
              <w:t xml:space="preserve"> לך, </w:t>
            </w:r>
            <w:r w:rsidRPr="00491C2E">
              <w:rPr>
                <w:rFonts w:hint="cs"/>
                <w:szCs w:val="24"/>
                <w:u w:val="single"/>
                <w:rtl/>
              </w:rPr>
              <w:t>עלון שבות</w:t>
            </w:r>
            <w:r w:rsidRPr="00491C2E">
              <w:rPr>
                <w:rFonts w:hint="cs"/>
                <w:szCs w:val="24"/>
                <w:rtl/>
              </w:rPr>
              <w:t xml:space="preserve">, </w:t>
            </w:r>
            <w:proofErr w:type="spellStart"/>
            <w:r w:rsidRPr="00491C2E">
              <w:rPr>
                <w:rFonts w:hint="cs"/>
                <w:szCs w:val="24"/>
                <w:rtl/>
              </w:rPr>
              <w:t>ט,א</w:t>
            </w:r>
            <w:proofErr w:type="spellEnd"/>
            <w:r w:rsidRPr="00491C2E">
              <w:rPr>
                <w:rFonts w:hint="cs"/>
                <w:szCs w:val="24"/>
                <w:rtl/>
              </w:rPr>
              <w:t xml:space="preserve"> [תשל"ח], עמ' 56-60.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תקיעות בראש השנה, </w:t>
            </w:r>
            <w:r w:rsidRPr="00491C2E">
              <w:rPr>
                <w:rFonts w:hint="cs"/>
                <w:szCs w:val="24"/>
                <w:u w:val="single"/>
                <w:rtl/>
              </w:rPr>
              <w:t>עלון שבות</w:t>
            </w:r>
            <w:r w:rsidRPr="00491C2E">
              <w:rPr>
                <w:rFonts w:hint="cs"/>
                <w:szCs w:val="24"/>
                <w:rtl/>
              </w:rPr>
              <w:t>,  73 [תשל"ט], עמ' 39-48.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פגישת יעקב ועשו, </w:t>
            </w:r>
            <w:proofErr w:type="spellStart"/>
            <w:r w:rsidRPr="00491C2E">
              <w:rPr>
                <w:rFonts w:hint="cs"/>
                <w:szCs w:val="24"/>
                <w:u w:val="single"/>
                <w:rtl/>
              </w:rPr>
              <w:t>המעין</w:t>
            </w:r>
            <w:proofErr w:type="spellEnd"/>
            <w:r w:rsidRPr="00491C2E">
              <w:rPr>
                <w:rFonts w:hint="cs"/>
                <w:szCs w:val="24"/>
                <w:rtl/>
              </w:rPr>
              <w:t>, כ [תש"מ] עמ' 1-8.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סמוך ונראה, בתוך: </w:t>
            </w:r>
            <w:r w:rsidRPr="00491C2E">
              <w:rPr>
                <w:rFonts w:hint="cs"/>
                <w:szCs w:val="24"/>
                <w:u w:val="single"/>
                <w:rtl/>
              </w:rPr>
              <w:t xml:space="preserve">מנחת אהרן </w:t>
            </w:r>
            <w:r w:rsidRPr="00491C2E">
              <w:rPr>
                <w:szCs w:val="24"/>
                <w:u w:val="single"/>
                <w:rtl/>
              </w:rPr>
              <w:t>–</w:t>
            </w:r>
            <w:r w:rsidRPr="00491C2E">
              <w:rPr>
                <w:rFonts w:hint="cs"/>
                <w:szCs w:val="24"/>
                <w:u w:val="single"/>
                <w:rtl/>
              </w:rPr>
              <w:t xml:space="preserve"> מאסף תורני לזכרו של הרב אהרן </w:t>
            </w:r>
            <w:proofErr w:type="spellStart"/>
            <w:r w:rsidRPr="00491C2E">
              <w:rPr>
                <w:rFonts w:hint="cs"/>
                <w:szCs w:val="24"/>
                <w:u w:val="single"/>
                <w:rtl/>
              </w:rPr>
              <w:t>שויקה</w:t>
            </w:r>
            <w:proofErr w:type="spellEnd"/>
            <w:r w:rsidRPr="00491C2E">
              <w:rPr>
                <w:rFonts w:hint="cs"/>
                <w:szCs w:val="24"/>
                <w:rtl/>
              </w:rPr>
              <w:t xml:space="preserve"> (עורכים: י' </w:t>
            </w:r>
            <w:proofErr w:type="spellStart"/>
            <w:r w:rsidRPr="00491C2E">
              <w:rPr>
                <w:rFonts w:hint="cs"/>
                <w:szCs w:val="24"/>
                <w:rtl/>
              </w:rPr>
              <w:t>שויקה</w:t>
            </w:r>
            <w:proofErr w:type="spellEnd"/>
            <w:r w:rsidRPr="00491C2E">
              <w:rPr>
                <w:rFonts w:hint="cs"/>
                <w:szCs w:val="24"/>
                <w:rtl/>
              </w:rPr>
              <w:t xml:space="preserve"> וח' סבתו), ירושלים תש"מ, עמ' 101-106.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פסוקי הפתיחה לספר דברים, </w:t>
            </w:r>
            <w:r w:rsidRPr="00491C2E">
              <w:rPr>
                <w:rFonts w:hint="cs"/>
                <w:szCs w:val="24"/>
                <w:u w:val="single"/>
                <w:rtl/>
              </w:rPr>
              <w:t>עלון שבות</w:t>
            </w:r>
            <w:r w:rsidRPr="00491C2E">
              <w:rPr>
                <w:rFonts w:hint="cs"/>
                <w:szCs w:val="24"/>
                <w:rtl/>
              </w:rPr>
              <w:t>, 90 [תשמ"ב], עמ' 46-57.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מי הקדימני ואשלם, </w:t>
            </w:r>
            <w:r w:rsidRPr="00491C2E">
              <w:rPr>
                <w:rFonts w:hint="cs"/>
                <w:szCs w:val="24"/>
                <w:u w:val="single"/>
                <w:rtl/>
              </w:rPr>
              <w:t>עלון שבות</w:t>
            </w:r>
            <w:r w:rsidRPr="00491C2E">
              <w:rPr>
                <w:rFonts w:hint="cs"/>
                <w:szCs w:val="24"/>
                <w:rtl/>
              </w:rPr>
              <w:t>, 95 [תשמ"ב], עמ' 13-19.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'וכי חולדה נביאה היא', </w:t>
            </w:r>
            <w:r w:rsidRPr="00491C2E">
              <w:rPr>
                <w:rFonts w:hint="cs"/>
                <w:szCs w:val="24"/>
                <w:u w:val="single"/>
                <w:rtl/>
              </w:rPr>
              <w:t>עלון שבות</w:t>
            </w:r>
            <w:r w:rsidRPr="00491C2E">
              <w:rPr>
                <w:rFonts w:hint="cs"/>
                <w:szCs w:val="24"/>
                <w:rtl/>
              </w:rPr>
              <w:t>, 99 [תשמ"ג], עמ' 32-38.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proofErr w:type="spellStart"/>
            <w:r w:rsidRPr="00491C2E">
              <w:rPr>
                <w:rFonts w:hint="cs"/>
                <w:szCs w:val="24"/>
                <w:rtl/>
              </w:rPr>
              <w:t>הכהנים</w:t>
            </w:r>
            <w:proofErr w:type="spellEnd"/>
            <w:r w:rsidRPr="00491C2E">
              <w:rPr>
                <w:rFonts w:hint="cs"/>
                <w:szCs w:val="24"/>
                <w:rtl/>
              </w:rPr>
              <w:t xml:space="preserve"> הלוויים ומעשה העגל, </w:t>
            </w:r>
            <w:r w:rsidRPr="00491C2E">
              <w:rPr>
                <w:rFonts w:hint="cs"/>
                <w:szCs w:val="24"/>
                <w:u w:val="single"/>
                <w:rtl/>
              </w:rPr>
              <w:t>מגדים</w:t>
            </w:r>
            <w:r w:rsidRPr="00491C2E">
              <w:rPr>
                <w:rFonts w:hint="cs"/>
                <w:szCs w:val="24"/>
                <w:rtl/>
              </w:rPr>
              <w:t>, ב [תשמ"ז], עמ' 23-31.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  <w:rtl/>
              </w:rPr>
            </w:pPr>
            <w:r w:rsidRPr="00491C2E">
              <w:rPr>
                <w:rFonts w:hint="cs"/>
                <w:szCs w:val="24"/>
                <w:rtl/>
              </w:rPr>
              <w:t xml:space="preserve">אגרת רחום (עזרא ד, ו-כד), </w:t>
            </w:r>
            <w:r w:rsidRPr="00491C2E">
              <w:rPr>
                <w:rFonts w:hint="cs"/>
                <w:szCs w:val="24"/>
                <w:u w:val="single"/>
                <w:rtl/>
              </w:rPr>
              <w:t>מגדים</w:t>
            </w:r>
            <w:r w:rsidRPr="00491C2E">
              <w:rPr>
                <w:rFonts w:hint="cs"/>
                <w:szCs w:val="24"/>
                <w:rtl/>
              </w:rPr>
              <w:t xml:space="preserve"> , ה [תשמ"ח], עמ' 25-31.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szCs w:val="24"/>
                <w:rtl/>
              </w:rPr>
              <w:t xml:space="preserve">בית דין של בוררים, </w:t>
            </w:r>
            <w:r w:rsidRPr="00491C2E">
              <w:rPr>
                <w:rFonts w:hint="cs"/>
                <w:szCs w:val="24"/>
                <w:rtl/>
              </w:rPr>
              <w:t xml:space="preserve">בתוך: </w:t>
            </w:r>
            <w:r w:rsidRPr="00491C2E">
              <w:rPr>
                <w:szCs w:val="24"/>
                <w:u w:val="single"/>
                <w:rtl/>
              </w:rPr>
              <w:t xml:space="preserve">ספר היובל לרב מרדכי </w:t>
            </w:r>
            <w:proofErr w:type="spellStart"/>
            <w:r w:rsidRPr="00491C2E">
              <w:rPr>
                <w:szCs w:val="24"/>
                <w:u w:val="single"/>
                <w:rtl/>
              </w:rPr>
              <w:t>ברויאר</w:t>
            </w:r>
            <w:proofErr w:type="spellEnd"/>
            <w:r w:rsidRPr="00491C2E">
              <w:rPr>
                <w:szCs w:val="24"/>
                <w:rtl/>
              </w:rPr>
              <w:t>, ירושלים תשנ"ב, עמ' 463-485.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סיפור </w:t>
            </w:r>
            <w:proofErr w:type="spellStart"/>
            <w:r w:rsidRPr="00491C2E">
              <w:rPr>
                <w:rFonts w:hint="cs"/>
                <w:szCs w:val="24"/>
                <w:rtl/>
              </w:rPr>
              <w:t>השונמית</w:t>
            </w:r>
            <w:proofErr w:type="spellEnd"/>
            <w:r w:rsidRPr="00491C2E">
              <w:rPr>
                <w:rFonts w:hint="cs"/>
                <w:szCs w:val="24"/>
                <w:rtl/>
              </w:rPr>
              <w:t xml:space="preserve">, </w:t>
            </w:r>
            <w:r w:rsidRPr="00491C2E">
              <w:rPr>
                <w:rFonts w:hint="cs"/>
                <w:szCs w:val="24"/>
                <w:u w:val="single"/>
                <w:rtl/>
              </w:rPr>
              <w:t>מגדים</w:t>
            </w:r>
            <w:r w:rsidRPr="00491C2E">
              <w:rPr>
                <w:rFonts w:hint="cs"/>
                <w:szCs w:val="24"/>
                <w:rtl/>
              </w:rPr>
              <w:t>, טו [תשנ"ב], עמ' 45-52.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  <w:rtl/>
              </w:rPr>
            </w:pPr>
            <w:r w:rsidRPr="00491C2E">
              <w:rPr>
                <w:rFonts w:hint="cs"/>
                <w:szCs w:val="24"/>
                <w:rtl/>
              </w:rPr>
              <w:t xml:space="preserve">פירוש </w:t>
            </w:r>
            <w:proofErr w:type="spellStart"/>
            <w:r w:rsidRPr="00491C2E">
              <w:rPr>
                <w:rFonts w:hint="cs"/>
                <w:szCs w:val="24"/>
                <w:rtl/>
              </w:rPr>
              <w:t>רשב"ם</w:t>
            </w:r>
            <w:proofErr w:type="spellEnd"/>
            <w:r w:rsidRPr="00491C2E">
              <w:rPr>
                <w:rFonts w:hint="cs"/>
                <w:szCs w:val="24"/>
                <w:rtl/>
              </w:rPr>
              <w:t xml:space="preserve"> לתורה, </w:t>
            </w:r>
            <w:r w:rsidRPr="00491C2E">
              <w:rPr>
                <w:rFonts w:hint="cs"/>
                <w:szCs w:val="24"/>
                <w:u w:val="single"/>
                <w:rtl/>
              </w:rPr>
              <w:t>מחניים</w:t>
            </w:r>
            <w:r w:rsidRPr="00491C2E">
              <w:rPr>
                <w:rFonts w:hint="cs"/>
                <w:szCs w:val="24"/>
                <w:rtl/>
              </w:rPr>
              <w:t>, 3 [תשנ"ג], עמ' 110-125.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rFonts w:hint="cs"/>
                <w:szCs w:val="24"/>
                <w:rtl/>
              </w:rPr>
              <w:t xml:space="preserve">על נוסח פירוש רמב"ן לתורה, </w:t>
            </w:r>
            <w:r w:rsidRPr="00491C2E">
              <w:rPr>
                <w:rFonts w:hint="cs"/>
                <w:szCs w:val="24"/>
                <w:u w:val="single"/>
                <w:rtl/>
              </w:rPr>
              <w:t>מגדים</w:t>
            </w:r>
            <w:r w:rsidRPr="00491C2E">
              <w:rPr>
                <w:rFonts w:hint="cs"/>
                <w:szCs w:val="24"/>
                <w:rtl/>
              </w:rPr>
              <w:t xml:space="preserve">, </w:t>
            </w:r>
            <w:proofErr w:type="spellStart"/>
            <w:r w:rsidRPr="00491C2E">
              <w:rPr>
                <w:rFonts w:hint="cs"/>
                <w:szCs w:val="24"/>
                <w:rtl/>
              </w:rPr>
              <w:t>כג</w:t>
            </w:r>
            <w:proofErr w:type="spellEnd"/>
            <w:r w:rsidRPr="00491C2E">
              <w:rPr>
                <w:rFonts w:hint="cs"/>
                <w:szCs w:val="24"/>
                <w:rtl/>
              </w:rPr>
              <w:t xml:space="preserve"> [תשנ"ה], עמ' 71-81.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szCs w:val="24"/>
                <w:rtl/>
              </w:rPr>
              <w:t xml:space="preserve">למילון התלמודי </w:t>
            </w:r>
            <w:r w:rsidRPr="00491C2E">
              <w:rPr>
                <w:szCs w:val="24"/>
              </w:rPr>
              <w:t>–</w:t>
            </w:r>
            <w:r w:rsidRPr="00491C2E">
              <w:rPr>
                <w:szCs w:val="24"/>
                <w:rtl/>
              </w:rPr>
              <w:t xml:space="preserve"> פרג, </w:t>
            </w:r>
            <w:r w:rsidRPr="00491C2E">
              <w:rPr>
                <w:szCs w:val="24"/>
                <w:u w:val="single"/>
                <w:rtl/>
              </w:rPr>
              <w:t>תרביץ</w:t>
            </w:r>
            <w:r w:rsidRPr="00491C2E">
              <w:rPr>
                <w:szCs w:val="24"/>
                <w:rtl/>
              </w:rPr>
              <w:t xml:space="preserve">, סה </w:t>
            </w:r>
            <w:r w:rsidRPr="00491C2E">
              <w:rPr>
                <w:rFonts w:hint="cs"/>
                <w:szCs w:val="24"/>
                <w:rtl/>
              </w:rPr>
              <w:t>[</w:t>
            </w:r>
            <w:r w:rsidRPr="00491C2E">
              <w:rPr>
                <w:szCs w:val="24"/>
                <w:rtl/>
              </w:rPr>
              <w:t>תשנ"ו</w:t>
            </w:r>
            <w:r w:rsidRPr="00491C2E">
              <w:rPr>
                <w:rFonts w:hint="cs"/>
                <w:szCs w:val="24"/>
                <w:rtl/>
              </w:rPr>
              <w:t>]</w:t>
            </w:r>
            <w:r w:rsidRPr="00491C2E">
              <w:rPr>
                <w:szCs w:val="24"/>
                <w:rtl/>
              </w:rPr>
              <w:t>, עמ' 509-513.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  <w:rtl/>
              </w:rPr>
            </w:pPr>
            <w:r w:rsidRPr="00491C2E">
              <w:rPr>
                <w:rFonts w:hint="cs"/>
                <w:szCs w:val="24"/>
                <w:rtl/>
              </w:rPr>
              <w:t xml:space="preserve">להקים שם המת על נחלתו, בתוך: </w:t>
            </w:r>
            <w:r w:rsidRPr="00491C2E">
              <w:rPr>
                <w:rFonts w:hint="cs"/>
                <w:szCs w:val="24"/>
                <w:u w:val="single"/>
                <w:rtl/>
              </w:rPr>
              <w:t xml:space="preserve">עצרת ליחיאל </w:t>
            </w:r>
            <w:r w:rsidRPr="00491C2E">
              <w:rPr>
                <w:szCs w:val="24"/>
                <w:u w:val="single"/>
                <w:rtl/>
              </w:rPr>
              <w:t>–</w:t>
            </w:r>
            <w:r w:rsidRPr="00491C2E">
              <w:rPr>
                <w:rFonts w:hint="cs"/>
                <w:szCs w:val="24"/>
                <w:u w:val="single"/>
                <w:rtl/>
              </w:rPr>
              <w:t xml:space="preserve"> מאסף לענייני חג השבועות לזכרו של יחיאל מרדכי ויצמן הי"ד</w:t>
            </w:r>
            <w:r w:rsidRPr="00491C2E">
              <w:rPr>
                <w:rFonts w:hint="cs"/>
                <w:szCs w:val="24"/>
                <w:rtl/>
              </w:rPr>
              <w:t xml:space="preserve">, בית אל </w:t>
            </w:r>
            <w:proofErr w:type="spellStart"/>
            <w:r w:rsidRPr="00491C2E">
              <w:rPr>
                <w:rFonts w:hint="cs"/>
                <w:szCs w:val="24"/>
                <w:rtl/>
              </w:rPr>
              <w:t>התשנ"ז</w:t>
            </w:r>
            <w:proofErr w:type="spellEnd"/>
            <w:r w:rsidRPr="00491C2E">
              <w:rPr>
                <w:rFonts w:hint="cs"/>
                <w:szCs w:val="24"/>
                <w:rtl/>
              </w:rPr>
              <w:t>, עמ' 173-181.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  <w:rtl/>
              </w:rPr>
            </w:pPr>
            <w:r w:rsidRPr="00491C2E">
              <w:rPr>
                <w:szCs w:val="24"/>
                <w:rtl/>
              </w:rPr>
              <w:lastRenderedPageBreak/>
              <w:t xml:space="preserve">'דרך כרמים' </w:t>
            </w:r>
            <w:r w:rsidRPr="00491C2E">
              <w:rPr>
                <w:szCs w:val="24"/>
              </w:rPr>
              <w:t>–</w:t>
            </w:r>
            <w:r w:rsidRPr="00491C2E">
              <w:rPr>
                <w:szCs w:val="24"/>
                <w:rtl/>
              </w:rPr>
              <w:t xml:space="preserve"> לבירור נוסחה ופירושה של דרשה אחת בבבלי סנהדרין, </w:t>
            </w:r>
            <w:r w:rsidRPr="00491C2E">
              <w:rPr>
                <w:szCs w:val="24"/>
                <w:u w:val="single"/>
                <w:rtl/>
              </w:rPr>
              <w:t>תרביץ</w:t>
            </w:r>
            <w:r w:rsidRPr="00491C2E">
              <w:rPr>
                <w:szCs w:val="24"/>
                <w:rtl/>
              </w:rPr>
              <w:t xml:space="preserve">, </w:t>
            </w:r>
            <w:proofErr w:type="spellStart"/>
            <w:r w:rsidRPr="00491C2E">
              <w:rPr>
                <w:szCs w:val="24"/>
                <w:rtl/>
              </w:rPr>
              <w:t>סז</w:t>
            </w:r>
            <w:proofErr w:type="spellEnd"/>
            <w:r w:rsidRPr="00491C2E">
              <w:rPr>
                <w:szCs w:val="24"/>
                <w:rtl/>
              </w:rPr>
              <w:t xml:space="preserve"> </w:t>
            </w:r>
            <w:r w:rsidRPr="00491C2E">
              <w:rPr>
                <w:rFonts w:hint="cs"/>
                <w:szCs w:val="24"/>
                <w:rtl/>
              </w:rPr>
              <w:t>[</w:t>
            </w:r>
            <w:r w:rsidRPr="00491C2E">
              <w:rPr>
                <w:szCs w:val="24"/>
                <w:rtl/>
              </w:rPr>
              <w:t>תשנ"ח</w:t>
            </w:r>
            <w:r w:rsidRPr="00491C2E">
              <w:rPr>
                <w:rFonts w:hint="cs"/>
                <w:szCs w:val="24"/>
                <w:rtl/>
              </w:rPr>
              <w:t>]</w:t>
            </w:r>
            <w:r w:rsidRPr="00491C2E">
              <w:rPr>
                <w:szCs w:val="24"/>
                <w:rtl/>
              </w:rPr>
              <w:t>, עמ' 153-166.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szCs w:val="24"/>
                <w:rtl/>
              </w:rPr>
              <w:t xml:space="preserve">קבורה מן התורה מניין, </w:t>
            </w:r>
            <w:r w:rsidRPr="00491C2E">
              <w:rPr>
                <w:szCs w:val="24"/>
                <w:u w:val="single"/>
                <w:rtl/>
              </w:rPr>
              <w:t>נטועים</w:t>
            </w:r>
            <w:r w:rsidRPr="00491C2E">
              <w:rPr>
                <w:szCs w:val="24"/>
                <w:rtl/>
              </w:rPr>
              <w:t xml:space="preserve">, ד </w:t>
            </w:r>
            <w:r w:rsidRPr="00491C2E">
              <w:rPr>
                <w:rFonts w:hint="cs"/>
                <w:szCs w:val="24"/>
                <w:rtl/>
              </w:rPr>
              <w:t>[</w:t>
            </w:r>
            <w:r w:rsidRPr="00491C2E">
              <w:rPr>
                <w:szCs w:val="24"/>
                <w:rtl/>
              </w:rPr>
              <w:t>תשנ"ח</w:t>
            </w:r>
            <w:r w:rsidRPr="00491C2E">
              <w:rPr>
                <w:rFonts w:hint="cs"/>
                <w:szCs w:val="24"/>
                <w:rtl/>
              </w:rPr>
              <w:t>]</w:t>
            </w:r>
            <w:r w:rsidRPr="00491C2E">
              <w:rPr>
                <w:szCs w:val="24"/>
                <w:rtl/>
              </w:rPr>
              <w:t xml:space="preserve"> עמ' 69-77.</w:t>
            </w:r>
            <w:r w:rsidRPr="00491C2E">
              <w:rPr>
                <w:rFonts w:hint="cs"/>
                <w:szCs w:val="24"/>
                <w:rtl/>
              </w:rPr>
              <w:t xml:space="preserve"> 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  <w:rtl/>
              </w:rPr>
            </w:pPr>
            <w:r w:rsidRPr="00491C2E">
              <w:rPr>
                <w:rFonts w:hint="cs"/>
                <w:szCs w:val="24"/>
                <w:rtl/>
              </w:rPr>
              <w:t xml:space="preserve">משגיא לגוים ויאבדם, בתוך: </w:t>
            </w:r>
            <w:r w:rsidRPr="00491C2E">
              <w:rPr>
                <w:rFonts w:hint="cs"/>
                <w:szCs w:val="24"/>
                <w:u w:val="single"/>
                <w:rtl/>
              </w:rPr>
              <w:t xml:space="preserve">הדסה היא אסתר </w:t>
            </w:r>
            <w:r w:rsidRPr="00491C2E">
              <w:rPr>
                <w:szCs w:val="24"/>
                <w:u w:val="single"/>
                <w:rtl/>
              </w:rPr>
              <w:t>–</w:t>
            </w:r>
            <w:r w:rsidRPr="00491C2E">
              <w:rPr>
                <w:rFonts w:hint="cs"/>
                <w:szCs w:val="24"/>
                <w:u w:val="single"/>
                <w:rtl/>
              </w:rPr>
              <w:t xml:space="preserve"> ספר זיכרון להדסה אסתר </w:t>
            </w:r>
            <w:proofErr w:type="spellStart"/>
            <w:r w:rsidRPr="00491C2E">
              <w:rPr>
                <w:rFonts w:hint="cs"/>
                <w:szCs w:val="24"/>
                <w:u w:val="single"/>
                <w:rtl/>
              </w:rPr>
              <w:t>רבינוביץ</w:t>
            </w:r>
            <w:proofErr w:type="spellEnd"/>
            <w:r w:rsidRPr="00491C2E">
              <w:rPr>
                <w:rFonts w:hint="cs"/>
                <w:szCs w:val="24"/>
                <w:rtl/>
              </w:rPr>
              <w:t>, (עורך: א' בזק), אלון שבות תשנ"ט, עמ'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  <w:rtl/>
              </w:rPr>
            </w:pPr>
            <w:r w:rsidRPr="00491C2E">
              <w:rPr>
                <w:szCs w:val="24"/>
                <w:rtl/>
              </w:rPr>
              <w:t xml:space="preserve">מסורות הנוסח של בבלי סנהדרין - כתבי יד וענפי נוסח, </w:t>
            </w:r>
            <w:r w:rsidRPr="00491C2E">
              <w:rPr>
                <w:rFonts w:hint="cs"/>
                <w:szCs w:val="24"/>
                <w:rtl/>
              </w:rPr>
              <w:t xml:space="preserve">בתוך: </w:t>
            </w:r>
            <w:r w:rsidRPr="00491C2E">
              <w:rPr>
                <w:szCs w:val="24"/>
                <w:u w:val="single"/>
                <w:rtl/>
              </w:rPr>
              <w:t>סוגיות במחקר התלמוד - קובץ לזכרו של פרופ' א"א אורבך</w:t>
            </w:r>
            <w:r w:rsidRPr="00491C2E">
              <w:rPr>
                <w:szCs w:val="24"/>
                <w:rtl/>
              </w:rPr>
              <w:t>, האקדמיה הלאומית הישראלית למדעים, ירושלים תשס"א, עמ' 80-99.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</w:rPr>
            </w:pPr>
            <w:r w:rsidRPr="00491C2E">
              <w:rPr>
                <w:szCs w:val="24"/>
                <w:rtl/>
              </w:rPr>
              <w:t xml:space="preserve">'המקיף את חברו משלש רוחותיו' (בבא </w:t>
            </w:r>
            <w:proofErr w:type="spellStart"/>
            <w:r w:rsidRPr="00491C2E">
              <w:rPr>
                <w:szCs w:val="24"/>
                <w:rtl/>
              </w:rPr>
              <w:t>בתרא</w:t>
            </w:r>
            <w:proofErr w:type="spellEnd"/>
            <w:r w:rsidRPr="00491C2E">
              <w:rPr>
                <w:szCs w:val="24"/>
                <w:rtl/>
              </w:rPr>
              <w:t xml:space="preserve"> ד ע"ב - ה ע"א), </w:t>
            </w:r>
            <w:r w:rsidRPr="00491C2E">
              <w:rPr>
                <w:szCs w:val="24"/>
                <w:u w:val="single"/>
                <w:rtl/>
              </w:rPr>
              <w:t>תרביץ</w:t>
            </w:r>
            <w:r w:rsidRPr="00491C2E">
              <w:rPr>
                <w:szCs w:val="24"/>
                <w:rtl/>
              </w:rPr>
              <w:t xml:space="preserve">, ע </w:t>
            </w:r>
            <w:r w:rsidRPr="00491C2E">
              <w:rPr>
                <w:rFonts w:hint="cs"/>
                <w:szCs w:val="24"/>
                <w:rtl/>
              </w:rPr>
              <w:t>[</w:t>
            </w:r>
            <w:r w:rsidRPr="00491C2E">
              <w:rPr>
                <w:szCs w:val="24"/>
                <w:rtl/>
              </w:rPr>
              <w:t>תשס"א</w:t>
            </w:r>
            <w:r w:rsidRPr="00491C2E">
              <w:rPr>
                <w:rFonts w:hint="cs"/>
                <w:szCs w:val="24"/>
                <w:rtl/>
              </w:rPr>
              <w:t>]</w:t>
            </w:r>
            <w:r w:rsidRPr="00491C2E">
              <w:rPr>
                <w:szCs w:val="24"/>
                <w:rtl/>
              </w:rPr>
              <w:t xml:space="preserve">, עמ' 189-212. </w:t>
            </w:r>
          </w:p>
          <w:p w:rsidR="008A7B02" w:rsidRPr="00491C2E" w:rsidRDefault="008A7B02" w:rsidP="00DE5955">
            <w:pPr>
              <w:pStyle w:val="2"/>
              <w:numPr>
                <w:ilvl w:val="0"/>
                <w:numId w:val="1"/>
              </w:numPr>
              <w:spacing w:line="360" w:lineRule="auto"/>
              <w:ind w:right="233"/>
              <w:jc w:val="both"/>
              <w:rPr>
                <w:szCs w:val="24"/>
                <w:rtl/>
              </w:rPr>
            </w:pPr>
            <w:r w:rsidRPr="00491C2E">
              <w:rPr>
                <w:rFonts w:hint="cs"/>
                <w:szCs w:val="24"/>
                <w:rtl/>
              </w:rPr>
              <w:t xml:space="preserve">גזרה ובחירה בסיפור מותו של אחאב, בתוך: </w:t>
            </w:r>
            <w:r w:rsidRPr="00491C2E">
              <w:rPr>
                <w:rFonts w:hint="cs"/>
                <w:szCs w:val="24"/>
                <w:u w:val="single"/>
                <w:rtl/>
              </w:rPr>
              <w:t>על דרך האבות: שלשים שנה למכללת יעקב הרצוג</w:t>
            </w:r>
            <w:r w:rsidRPr="00491C2E">
              <w:rPr>
                <w:szCs w:val="24"/>
                <w:u w:val="single"/>
                <w:rtl/>
              </w:rPr>
              <w:t xml:space="preserve"> - קובץ מאמרים בנושאי תורה</w:t>
            </w:r>
            <w:r w:rsidRPr="00491C2E">
              <w:rPr>
                <w:rFonts w:hint="cs"/>
                <w:szCs w:val="24"/>
                <w:u w:val="single"/>
                <w:rtl/>
              </w:rPr>
              <w:t xml:space="preserve"> וחינוך</w:t>
            </w:r>
            <w:r w:rsidRPr="00491C2E">
              <w:rPr>
                <w:rFonts w:hint="cs"/>
                <w:szCs w:val="24"/>
                <w:rtl/>
              </w:rPr>
              <w:t>, אלון שבות, תשס"א, עמ' 397-417.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t xml:space="preserve">'למה אמרו שתי שורות במרתף', </w:t>
            </w:r>
            <w:proofErr w:type="spellStart"/>
            <w:r w:rsidRPr="00491C2E">
              <w:rPr>
                <w:rFonts w:cs="David" w:hint="cs"/>
                <w:u w:val="single"/>
                <w:rtl/>
              </w:rPr>
              <w:t>סידרא</w:t>
            </w:r>
            <w:proofErr w:type="spellEnd"/>
            <w:r w:rsidRPr="00491C2E">
              <w:rPr>
                <w:rFonts w:cs="David" w:hint="cs"/>
                <w:rtl/>
              </w:rPr>
              <w:t xml:space="preserve">, </w:t>
            </w:r>
            <w:proofErr w:type="spellStart"/>
            <w:r w:rsidRPr="00491C2E">
              <w:rPr>
                <w:rFonts w:cs="David" w:hint="cs"/>
                <w:rtl/>
              </w:rPr>
              <w:t>יט</w:t>
            </w:r>
            <w:proofErr w:type="spellEnd"/>
            <w:r w:rsidRPr="00491C2E">
              <w:rPr>
                <w:rFonts w:cs="David" w:hint="cs"/>
                <w:rtl/>
              </w:rPr>
              <w:t xml:space="preserve"> [תשס"ד], עמ' 101-116.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t xml:space="preserve">על שיטתו הפרשנית של הרב </w:t>
            </w:r>
            <w:proofErr w:type="spellStart"/>
            <w:r w:rsidRPr="00491C2E">
              <w:rPr>
                <w:rFonts w:cs="David" w:hint="cs"/>
                <w:rtl/>
              </w:rPr>
              <w:t>ברויאר</w:t>
            </w:r>
            <w:proofErr w:type="spellEnd"/>
            <w:r w:rsidRPr="00491C2E">
              <w:rPr>
                <w:rFonts w:cs="David" w:hint="cs"/>
                <w:rtl/>
              </w:rPr>
              <w:t xml:space="preserve">, בתוך: </w:t>
            </w:r>
            <w:r w:rsidRPr="00491C2E">
              <w:rPr>
                <w:rFonts w:cs="David" w:hint="cs"/>
                <w:u w:val="single"/>
                <w:rtl/>
              </w:rPr>
              <w:t xml:space="preserve">'שיטת הבחינות' של הרב </w:t>
            </w:r>
            <w:proofErr w:type="spellStart"/>
            <w:r w:rsidRPr="00491C2E">
              <w:rPr>
                <w:rFonts w:cs="David" w:hint="cs"/>
                <w:u w:val="single"/>
                <w:rtl/>
              </w:rPr>
              <w:t>ברויאר</w:t>
            </w:r>
            <w:proofErr w:type="spellEnd"/>
            <w:r w:rsidRPr="00491C2E">
              <w:rPr>
                <w:rFonts w:cs="David" w:hint="cs"/>
                <w:u w:val="single"/>
                <w:rtl/>
              </w:rPr>
              <w:t>: קובץ מאמרים ותגובות</w:t>
            </w:r>
            <w:r w:rsidRPr="00491C2E">
              <w:rPr>
                <w:rFonts w:cs="David" w:hint="cs"/>
                <w:rtl/>
              </w:rPr>
              <w:t xml:space="preserve"> (עורך: ד"ר י' עופר), אלון שבות תשס"ה, עמ' 360-369.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פרשת ראש חודש כיצד קורין אותה? </w:t>
            </w:r>
            <w:r w:rsidRPr="00491C2E">
              <w:rPr>
                <w:rFonts w:cs="David" w:hint="cs"/>
                <w:u w:val="single"/>
                <w:rtl/>
              </w:rPr>
              <w:t>תרביץ</w:t>
            </w:r>
            <w:r w:rsidRPr="00491C2E">
              <w:rPr>
                <w:rFonts w:cs="David" w:hint="cs"/>
                <w:rtl/>
              </w:rPr>
              <w:t>, עד [תשס"ה], עמ' 169-205.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הוספות הרמב"ן לפירושו לתורה, </w:t>
            </w:r>
            <w:r w:rsidRPr="00491C2E">
              <w:rPr>
                <w:rFonts w:cs="David" w:hint="cs"/>
                <w:u w:val="single"/>
                <w:rtl/>
              </w:rPr>
              <w:t>מגדים</w:t>
            </w:r>
            <w:r w:rsidRPr="00491C2E">
              <w:rPr>
                <w:rFonts w:cs="David" w:hint="cs"/>
                <w:rtl/>
              </w:rPr>
              <w:t xml:space="preserve">, </w:t>
            </w:r>
            <w:proofErr w:type="spellStart"/>
            <w:r w:rsidRPr="00491C2E">
              <w:rPr>
                <w:rFonts w:cs="David" w:hint="cs"/>
                <w:rtl/>
              </w:rPr>
              <w:t>מב</w:t>
            </w:r>
            <w:proofErr w:type="spellEnd"/>
            <w:r w:rsidRPr="00491C2E">
              <w:rPr>
                <w:rFonts w:cs="David" w:hint="cs"/>
                <w:rtl/>
              </w:rPr>
              <w:t xml:space="preserve"> [תשס"ה], עמ' 61-124.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t xml:space="preserve">על מוקדם ומאוחר בעדי הנוסח של התלמוד הבבלי, </w:t>
            </w:r>
            <w:proofErr w:type="spellStart"/>
            <w:r w:rsidRPr="00491C2E">
              <w:rPr>
                <w:rFonts w:cs="David" w:hint="cs"/>
                <w:u w:val="single"/>
                <w:rtl/>
              </w:rPr>
              <w:t>סידרא</w:t>
            </w:r>
            <w:proofErr w:type="spellEnd"/>
            <w:r w:rsidRPr="00491C2E">
              <w:rPr>
                <w:rFonts w:cs="David" w:hint="cs"/>
                <w:rtl/>
              </w:rPr>
              <w:t xml:space="preserve">, </w:t>
            </w:r>
            <w:proofErr w:type="spellStart"/>
            <w:r w:rsidRPr="00491C2E">
              <w:rPr>
                <w:rFonts w:cs="David" w:hint="cs"/>
                <w:rtl/>
              </w:rPr>
              <w:t>כא</w:t>
            </w:r>
            <w:proofErr w:type="spellEnd"/>
            <w:r w:rsidRPr="00491C2E">
              <w:rPr>
                <w:rFonts w:cs="David" w:hint="cs"/>
                <w:rtl/>
              </w:rPr>
              <w:t>, [תשס"ו], עמ' 145-153.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t xml:space="preserve">קריאת שמע של ר' ישמעאל ושל ר' אלעזר בן עזריה וההכרעה כבית הלל, </w:t>
            </w:r>
            <w:proofErr w:type="spellStart"/>
            <w:r w:rsidRPr="00491C2E">
              <w:rPr>
                <w:rFonts w:cs="David" w:hint="cs"/>
                <w:u w:val="single"/>
                <w:rtl/>
              </w:rPr>
              <w:t>סידרא</w:t>
            </w:r>
            <w:proofErr w:type="spellEnd"/>
            <w:r w:rsidRPr="00491C2E">
              <w:rPr>
                <w:rFonts w:cs="David" w:hint="cs"/>
                <w:rtl/>
              </w:rPr>
              <w:t xml:space="preserve">,  </w:t>
            </w:r>
            <w:proofErr w:type="spellStart"/>
            <w:r w:rsidRPr="00491C2E">
              <w:rPr>
                <w:rFonts w:cs="David" w:hint="cs"/>
                <w:rtl/>
              </w:rPr>
              <w:t>כב</w:t>
            </w:r>
            <w:proofErr w:type="spellEnd"/>
            <w:r w:rsidRPr="00491C2E">
              <w:rPr>
                <w:rFonts w:cs="David" w:hint="cs"/>
                <w:rtl/>
              </w:rPr>
              <w:t xml:space="preserve"> [תשס"ז], עמ' 41-55.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ברכת חתנים וברכת אבלים (יחד עם מנחם כץ), בתוך: </w:t>
            </w:r>
            <w:r w:rsidRPr="00491C2E">
              <w:rPr>
                <w:rFonts w:cs="David" w:hint="cs"/>
                <w:u w:val="single"/>
                <w:rtl/>
              </w:rPr>
              <w:t xml:space="preserve">כנישתא </w:t>
            </w:r>
            <w:r w:rsidRPr="00491C2E">
              <w:rPr>
                <w:rFonts w:cs="David"/>
                <w:u w:val="single"/>
                <w:rtl/>
              </w:rPr>
              <w:t>–</w:t>
            </w:r>
            <w:r w:rsidRPr="00491C2E">
              <w:rPr>
                <w:rFonts w:cs="David" w:hint="cs"/>
                <w:u w:val="single"/>
                <w:rtl/>
              </w:rPr>
              <w:t xml:space="preserve"> מחקרים על בית הכנסת ועולמו, 3</w:t>
            </w:r>
            <w:r w:rsidRPr="00491C2E">
              <w:rPr>
                <w:rFonts w:cs="David" w:hint="cs"/>
                <w:rtl/>
              </w:rPr>
              <w:t xml:space="preserve">, (עורך יוסף </w:t>
            </w:r>
            <w:proofErr w:type="spellStart"/>
            <w:r w:rsidRPr="00491C2E">
              <w:rPr>
                <w:rFonts w:cs="David" w:hint="cs"/>
                <w:rtl/>
              </w:rPr>
              <w:t>תבורי</w:t>
            </w:r>
            <w:proofErr w:type="spellEnd"/>
            <w:r w:rsidRPr="00491C2E">
              <w:rPr>
                <w:rFonts w:cs="David" w:hint="cs"/>
                <w:rtl/>
              </w:rPr>
              <w:t>), תשס"ז, עמ' קנה-</w:t>
            </w:r>
            <w:proofErr w:type="spellStart"/>
            <w:r w:rsidRPr="00491C2E">
              <w:rPr>
                <w:rFonts w:cs="David" w:hint="cs"/>
                <w:rtl/>
              </w:rPr>
              <w:t>קפו</w:t>
            </w:r>
            <w:proofErr w:type="spellEnd"/>
            <w:r w:rsidRPr="00491C2E">
              <w:rPr>
                <w:rFonts w:cs="David" w:hint="cs"/>
                <w:rtl/>
              </w:rPr>
              <w:t>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lastRenderedPageBreak/>
              <w:t xml:space="preserve">דמותו של עלי, </w:t>
            </w:r>
            <w:r w:rsidRPr="00491C2E">
              <w:rPr>
                <w:rFonts w:cs="David" w:hint="cs"/>
                <w:u w:val="single"/>
                <w:rtl/>
              </w:rPr>
              <w:t>מסכת</w:t>
            </w:r>
            <w:r w:rsidRPr="00491C2E">
              <w:rPr>
                <w:rFonts w:cs="David" w:hint="cs"/>
                <w:rtl/>
              </w:rPr>
              <w:t>, ו [תשס"ז], עמ' 119-139.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סדר הדיבורים בפירושו של רמב"ן לתורה, בתוך: </w:t>
            </w:r>
            <w:r w:rsidRPr="00491C2E">
              <w:rPr>
                <w:rFonts w:cs="David"/>
                <w:u w:val="single"/>
                <w:rtl/>
              </w:rPr>
              <w:t>תשורה לעמוס, אסופת מחקרים בפרשנות המקרא מוגשת לעמוס חכם</w:t>
            </w:r>
            <w:r w:rsidRPr="00491C2E">
              <w:rPr>
                <w:rFonts w:cs="David"/>
                <w:rtl/>
              </w:rPr>
              <w:t xml:space="preserve">, </w:t>
            </w:r>
            <w:r w:rsidRPr="00491C2E">
              <w:rPr>
                <w:rFonts w:cs="David" w:hint="cs"/>
                <w:rtl/>
              </w:rPr>
              <w:t xml:space="preserve">עורך: משה בר אשר ואחרים, </w:t>
            </w:r>
            <w:r w:rsidRPr="00491C2E">
              <w:rPr>
                <w:rFonts w:cs="David"/>
                <w:rtl/>
              </w:rPr>
              <w:t>אלון שבות</w:t>
            </w:r>
            <w:r w:rsidRPr="00491C2E">
              <w:rPr>
                <w:rFonts w:cs="David" w:hint="cs"/>
                <w:rtl/>
              </w:rPr>
              <w:t>, תשס"ז, עמ' 147-212.</w:t>
            </w:r>
          </w:p>
          <w:p w:rsidR="00A71D9D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מינוי מלך ובניית בית הבחירה: עיון מחודש, </w:t>
            </w:r>
            <w:r w:rsidRPr="00491C2E">
              <w:rPr>
                <w:rFonts w:cs="David" w:hint="cs"/>
                <w:u w:val="single"/>
                <w:rtl/>
              </w:rPr>
              <w:t>תרביץ</w:t>
            </w:r>
            <w:r w:rsidRPr="00491C2E">
              <w:rPr>
                <w:rFonts w:cs="David" w:hint="cs"/>
                <w:rtl/>
              </w:rPr>
              <w:t xml:space="preserve">, </w:t>
            </w:r>
            <w:proofErr w:type="spellStart"/>
            <w:r w:rsidRPr="00491C2E">
              <w:rPr>
                <w:rFonts w:cs="David" w:hint="cs"/>
                <w:rtl/>
              </w:rPr>
              <w:t>עו</w:t>
            </w:r>
            <w:proofErr w:type="spellEnd"/>
            <w:r w:rsidRPr="00491C2E">
              <w:rPr>
                <w:rFonts w:cs="David" w:hint="cs"/>
                <w:rtl/>
              </w:rPr>
              <w:t xml:space="preserve"> [תשס"ז], עמ' 353-384.</w:t>
            </w:r>
            <w:r w:rsidR="00A71D9D" w:rsidRPr="00491C2E">
              <w:rPr>
                <w:rFonts w:cs="David" w:hint="cs"/>
                <w:rtl/>
              </w:rPr>
              <w:t xml:space="preserve"> </w:t>
            </w:r>
          </w:p>
          <w:p w:rsidR="008A7B02" w:rsidRPr="00491C2E" w:rsidRDefault="00A71D9D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>הלקח הכפול בנאומו הראשון של משה, אוניברסיטת בר אילן - דף שבועי, 713, פרשת דברים, תשס"ז.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פסולי עדות, </w:t>
            </w:r>
            <w:proofErr w:type="spellStart"/>
            <w:r w:rsidRPr="00491C2E">
              <w:rPr>
                <w:rFonts w:cs="David" w:hint="cs"/>
                <w:u w:val="single"/>
                <w:rtl/>
              </w:rPr>
              <w:t>סידרא</w:t>
            </w:r>
            <w:proofErr w:type="spellEnd"/>
            <w:r w:rsidRPr="00491C2E">
              <w:rPr>
                <w:rFonts w:cs="David" w:hint="cs"/>
                <w:rtl/>
              </w:rPr>
              <w:t xml:space="preserve">, </w:t>
            </w:r>
            <w:proofErr w:type="spellStart"/>
            <w:r w:rsidRPr="00491C2E">
              <w:rPr>
                <w:rFonts w:cs="David" w:hint="cs"/>
                <w:rtl/>
              </w:rPr>
              <w:t>כג</w:t>
            </w:r>
            <w:proofErr w:type="spellEnd"/>
            <w:r w:rsidRPr="00491C2E">
              <w:rPr>
                <w:rFonts w:cs="David" w:hint="cs"/>
                <w:rtl/>
              </w:rPr>
              <w:t xml:space="preserve"> [תשס"ח], עמ' 5-30.</w:t>
            </w:r>
          </w:p>
          <w:p w:rsidR="00A71D9D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"וכי ידיו של משה עושות מלחמה"? </w:t>
            </w:r>
            <w:r w:rsidRPr="00491C2E">
              <w:rPr>
                <w:rFonts w:cs="David" w:hint="cs"/>
                <w:u w:val="single"/>
                <w:rtl/>
              </w:rPr>
              <w:t>מגדים</w:t>
            </w:r>
            <w:r w:rsidR="00491C2E">
              <w:rPr>
                <w:rFonts w:cs="David" w:hint="cs"/>
                <w:rtl/>
              </w:rPr>
              <w:t>.</w:t>
            </w:r>
            <w:r w:rsidRPr="00491C2E">
              <w:rPr>
                <w:rFonts w:cs="David" w:hint="cs"/>
                <w:rtl/>
              </w:rPr>
              <w:t xml:space="preserve"> נ [תשס"ט], 39-59.</w:t>
            </w:r>
            <w:r w:rsidR="00A71D9D" w:rsidRPr="00491C2E">
              <w:rPr>
                <w:rFonts w:cs="David" w:hint="cs"/>
                <w:rtl/>
              </w:rPr>
              <w:t xml:space="preserve"> </w:t>
            </w:r>
          </w:p>
          <w:p w:rsidR="008A7B02" w:rsidRPr="00491C2E" w:rsidRDefault="00A71D9D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>הקבורה והברכה, אוניברסיטת בר אילן - דף שבועי, 791, פרשת ויחי, תשס"ט.</w:t>
            </w:r>
          </w:p>
          <w:p w:rsidR="008A7B02" w:rsidRPr="00491C2E" w:rsidRDefault="00A71D9D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>אי הירידה למצרים: איסור או הבטחה, אוניברסיטת בר אילן - דף שבועי, 876, פרשת כי תבוא, תש"ע.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tabs>
                <w:tab w:val="right" w:pos="8029"/>
              </w:tabs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עיון במשנת מגילה ד, א לאור מגמת עריכתה של המסכת, </w:t>
            </w:r>
            <w:proofErr w:type="spellStart"/>
            <w:r w:rsidRPr="00491C2E">
              <w:rPr>
                <w:rFonts w:cs="David" w:hint="cs"/>
                <w:rtl/>
              </w:rPr>
              <w:t>סידרא</w:t>
            </w:r>
            <w:proofErr w:type="spellEnd"/>
            <w:r w:rsidRPr="00491C2E">
              <w:rPr>
                <w:rFonts w:cs="David" w:hint="cs"/>
                <w:rtl/>
              </w:rPr>
              <w:t xml:space="preserve"> </w:t>
            </w:r>
            <w:proofErr w:type="spellStart"/>
            <w:r w:rsidRPr="00491C2E">
              <w:rPr>
                <w:rFonts w:cs="David" w:hint="cs"/>
                <w:rtl/>
              </w:rPr>
              <w:t>כו</w:t>
            </w:r>
            <w:proofErr w:type="spellEnd"/>
            <w:r w:rsidRPr="00491C2E">
              <w:rPr>
                <w:rFonts w:cs="David" w:hint="cs"/>
                <w:rtl/>
              </w:rPr>
              <w:t xml:space="preserve"> [תשע"א], עמ' 117-139.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t>"</w:t>
            </w:r>
            <w:proofErr w:type="spellStart"/>
            <w:r w:rsidRPr="00491C2E">
              <w:rPr>
                <w:rFonts w:cs="David" w:hint="cs"/>
                <w:rtl/>
              </w:rPr>
              <w:t>האסטו</w:t>
            </w:r>
            <w:proofErr w:type="spellEnd"/>
            <w:r w:rsidRPr="00491C2E">
              <w:rPr>
                <w:rFonts w:cs="David" w:hint="cs"/>
                <w:rtl/>
              </w:rPr>
              <w:t xml:space="preserve">" </w:t>
            </w:r>
            <w:proofErr w:type="spellStart"/>
            <w:r w:rsidRPr="00491C2E">
              <w:rPr>
                <w:rFonts w:cs="David" w:hint="cs"/>
                <w:rtl/>
              </w:rPr>
              <w:t>ו"אגיסטון</w:t>
            </w:r>
            <w:proofErr w:type="spellEnd"/>
            <w:r w:rsidRPr="00491C2E">
              <w:rPr>
                <w:rFonts w:cs="David" w:hint="cs"/>
                <w:rtl/>
              </w:rPr>
              <w:t xml:space="preserve">" - הילכו שניהם יחדו? </w:t>
            </w:r>
            <w:r w:rsidRPr="00491C2E">
              <w:rPr>
                <w:rFonts w:cs="David" w:hint="cs"/>
                <w:u w:val="single"/>
                <w:rtl/>
              </w:rPr>
              <w:t>לשוננו</w:t>
            </w:r>
            <w:r w:rsidRPr="00491C2E">
              <w:rPr>
                <w:rFonts w:cs="David" w:hint="cs"/>
                <w:rtl/>
              </w:rPr>
              <w:t xml:space="preserve"> </w:t>
            </w:r>
            <w:proofErr w:type="spellStart"/>
            <w:r w:rsidRPr="00491C2E">
              <w:rPr>
                <w:rFonts w:cs="David" w:hint="cs"/>
                <w:rtl/>
              </w:rPr>
              <w:t>עג</w:t>
            </w:r>
            <w:proofErr w:type="spellEnd"/>
            <w:r w:rsidRPr="00491C2E">
              <w:rPr>
                <w:rFonts w:cs="David" w:hint="cs"/>
                <w:rtl/>
              </w:rPr>
              <w:t xml:space="preserve"> [אלול </w:t>
            </w:r>
            <w:proofErr w:type="spellStart"/>
            <w:r w:rsidRPr="00491C2E">
              <w:rPr>
                <w:rFonts w:cs="David" w:hint="cs"/>
                <w:rtl/>
              </w:rPr>
              <w:t>התשע"א</w:t>
            </w:r>
            <w:proofErr w:type="spellEnd"/>
            <w:r w:rsidRPr="00491C2E">
              <w:rPr>
                <w:rFonts w:cs="David" w:hint="cs"/>
                <w:rtl/>
              </w:rPr>
              <w:t>], עמ' 459-478.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tabs>
                <w:tab w:val="right" w:pos="8029"/>
              </w:tabs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t xml:space="preserve">משלוח המנות של ר' יהודה נשיאה, בתוך: </w:t>
            </w:r>
            <w:r w:rsidRPr="00491C2E">
              <w:rPr>
                <w:rFonts w:cs="David" w:hint="cs"/>
                <w:u w:val="single"/>
                <w:rtl/>
              </w:rPr>
              <w:t xml:space="preserve">כתבור בהרים </w:t>
            </w:r>
            <w:r w:rsidRPr="00491C2E">
              <w:rPr>
                <w:rFonts w:cs="David"/>
                <w:u w:val="single"/>
                <w:rtl/>
              </w:rPr>
              <w:t>–</w:t>
            </w:r>
            <w:r w:rsidRPr="00491C2E">
              <w:rPr>
                <w:rFonts w:cs="David" w:hint="cs"/>
                <w:u w:val="single"/>
                <w:rtl/>
              </w:rPr>
              <w:t xml:space="preserve"> ספר היובל לכבוד יוסף </w:t>
            </w:r>
            <w:proofErr w:type="spellStart"/>
            <w:r w:rsidRPr="00491C2E">
              <w:rPr>
                <w:rFonts w:cs="David" w:hint="cs"/>
                <w:u w:val="single"/>
                <w:rtl/>
              </w:rPr>
              <w:t>תבורי</w:t>
            </w:r>
            <w:proofErr w:type="spellEnd"/>
            <w:r w:rsidRPr="00491C2E">
              <w:rPr>
                <w:rFonts w:cs="David" w:hint="cs"/>
                <w:rtl/>
              </w:rPr>
              <w:t>, עורכים ארנון עצמון, צור שפיר, אלון שבות, תשע"ג, עמ' 215-234.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tabs>
                <w:tab w:val="right" w:pos="80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t xml:space="preserve">סוגיות שהוגהו עקב המעבר מלימוד על פה ללימוד מן הכתב (יחד עם רבין </w:t>
            </w:r>
            <w:proofErr w:type="spellStart"/>
            <w:r w:rsidRPr="00491C2E">
              <w:rPr>
                <w:rFonts w:cs="David" w:hint="cs"/>
                <w:rtl/>
              </w:rPr>
              <w:t>שושטרי</w:t>
            </w:r>
            <w:proofErr w:type="spellEnd"/>
            <w:r w:rsidRPr="00491C2E">
              <w:rPr>
                <w:rFonts w:cs="David" w:hint="cs"/>
                <w:rtl/>
              </w:rPr>
              <w:t xml:space="preserve">), </w:t>
            </w:r>
            <w:r w:rsidRPr="00491C2E">
              <w:rPr>
                <w:rFonts w:cs="David"/>
                <w:u w:val="single"/>
              </w:rPr>
              <w:t>JSIJ</w:t>
            </w:r>
            <w:r w:rsidRPr="00491C2E">
              <w:rPr>
                <w:rFonts w:cs="David"/>
              </w:rPr>
              <w:t xml:space="preserve"> 10 [2012]</w:t>
            </w:r>
            <w:r w:rsidRPr="00491C2E">
              <w:rPr>
                <w:rFonts w:cs="David" w:hint="cs"/>
                <w:rtl/>
              </w:rPr>
              <w:t>, עמ' 1-26.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tabs>
                <w:tab w:val="right" w:pos="8029"/>
              </w:tabs>
              <w:spacing w:line="360" w:lineRule="auto"/>
              <w:jc w:val="both"/>
              <w:rPr>
                <w:rFonts w:cs="David"/>
                <w:rtl/>
              </w:rPr>
            </w:pPr>
            <w:r w:rsidRPr="00491C2E">
              <w:rPr>
                <w:rFonts w:cs="David" w:hint="cs"/>
                <w:rtl/>
              </w:rPr>
              <w:t xml:space="preserve">על שיקולי הכרעת נוסח וקביעת היחס בין מקורות מקבילים, </w:t>
            </w:r>
            <w:proofErr w:type="spellStart"/>
            <w:r w:rsidRPr="00491C2E">
              <w:rPr>
                <w:rFonts w:cs="David" w:hint="cs"/>
                <w:u w:val="single"/>
                <w:rtl/>
              </w:rPr>
              <w:t>סידרא</w:t>
            </w:r>
            <w:proofErr w:type="spellEnd"/>
            <w:r w:rsidR="00491C2E">
              <w:rPr>
                <w:rFonts w:cs="David" w:hint="cs"/>
                <w:rtl/>
              </w:rPr>
              <w:t>,</w:t>
            </w:r>
            <w:r w:rsidRPr="00491C2E">
              <w:rPr>
                <w:rFonts w:cs="David" w:hint="cs"/>
                <w:rtl/>
              </w:rPr>
              <w:t xml:space="preserve"> </w:t>
            </w:r>
            <w:proofErr w:type="spellStart"/>
            <w:r w:rsidRPr="00491C2E">
              <w:rPr>
                <w:rFonts w:cs="David" w:hint="cs"/>
                <w:rtl/>
              </w:rPr>
              <w:t>כז-כח</w:t>
            </w:r>
            <w:proofErr w:type="spellEnd"/>
            <w:r w:rsidRPr="00491C2E">
              <w:rPr>
                <w:rFonts w:cs="David" w:hint="cs"/>
                <w:rtl/>
              </w:rPr>
              <w:t xml:space="preserve"> [תשע"ג], עמ' 353-357.</w:t>
            </w:r>
            <w:r w:rsidR="00491C2E" w:rsidRPr="00491C2E">
              <w:rPr>
                <w:rFonts w:cs="David" w:hint="cs"/>
                <w:rtl/>
              </w:rPr>
              <w:t xml:space="preserve"> </w:t>
            </w:r>
          </w:p>
          <w:p w:rsidR="008A7B02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  <w:b/>
                <w:bCs/>
                <w:u w:val="single"/>
              </w:rPr>
            </w:pPr>
            <w:r w:rsidRPr="00491C2E">
              <w:rPr>
                <w:rFonts w:cs="David" w:hint="cs"/>
                <w:rtl/>
              </w:rPr>
              <w:t xml:space="preserve">"עדות מיוחדת" בדיני ממונות: האם הכשירו חכמים גם עדות מצטברת? </w:t>
            </w:r>
            <w:proofErr w:type="spellStart"/>
            <w:r w:rsidRPr="00491C2E">
              <w:rPr>
                <w:rFonts w:cs="David" w:hint="cs"/>
                <w:u w:val="single"/>
                <w:rtl/>
              </w:rPr>
              <w:t>סידרא</w:t>
            </w:r>
            <w:proofErr w:type="spellEnd"/>
            <w:r w:rsidRPr="00491C2E">
              <w:rPr>
                <w:rFonts w:cs="David" w:hint="cs"/>
                <w:rtl/>
              </w:rPr>
              <w:t xml:space="preserve"> </w:t>
            </w:r>
            <w:proofErr w:type="spellStart"/>
            <w:r w:rsidRPr="00491C2E">
              <w:rPr>
                <w:rFonts w:cs="David" w:hint="cs"/>
                <w:rtl/>
              </w:rPr>
              <w:t>כז-כח</w:t>
            </w:r>
            <w:proofErr w:type="spellEnd"/>
            <w:r w:rsidRPr="00491C2E">
              <w:rPr>
                <w:rFonts w:cs="David" w:hint="cs"/>
                <w:rtl/>
              </w:rPr>
              <w:t xml:space="preserve"> [תשע"ג], עמ' 175-209.</w:t>
            </w:r>
          </w:p>
          <w:p w:rsidR="00491C2E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lastRenderedPageBreak/>
              <w:t xml:space="preserve">"אלו הן </w:t>
            </w:r>
            <w:proofErr w:type="spellStart"/>
            <w:r w:rsidRPr="00491C2E">
              <w:rPr>
                <w:rFonts w:cs="David" w:hint="cs"/>
                <w:rtl/>
              </w:rPr>
              <w:t>הקרובין</w:t>
            </w:r>
            <w:proofErr w:type="spellEnd"/>
            <w:r w:rsidRPr="00491C2E">
              <w:rPr>
                <w:rFonts w:cs="David" w:hint="cs"/>
                <w:rtl/>
              </w:rPr>
              <w:t xml:space="preserve">": עיון מחודש ברשימות הקרובים הפסולים לעדות, </w:t>
            </w:r>
            <w:r w:rsidRPr="00491C2E">
              <w:rPr>
                <w:rFonts w:cs="David" w:hint="cs"/>
                <w:u w:val="single"/>
                <w:rtl/>
              </w:rPr>
              <w:t>דיני ישראל</w:t>
            </w:r>
            <w:r w:rsidRPr="00491C2E">
              <w:rPr>
                <w:rFonts w:cs="David" w:hint="cs"/>
                <w:rtl/>
              </w:rPr>
              <w:t xml:space="preserve">, </w:t>
            </w:r>
            <w:proofErr w:type="spellStart"/>
            <w:r w:rsidRPr="00491C2E">
              <w:rPr>
                <w:rFonts w:cs="David" w:hint="cs"/>
                <w:rtl/>
              </w:rPr>
              <w:t>כט</w:t>
            </w:r>
            <w:proofErr w:type="spellEnd"/>
            <w:r w:rsidRPr="00491C2E">
              <w:rPr>
                <w:rFonts w:cs="David" w:hint="cs"/>
                <w:rtl/>
              </w:rPr>
              <w:t xml:space="preserve"> [תשע"ג], עמ' 71-123.</w:t>
            </w:r>
            <w:r w:rsidR="00491C2E" w:rsidRPr="00491C2E">
              <w:rPr>
                <w:rFonts w:cs="David" w:hint="cs"/>
                <w:rtl/>
              </w:rPr>
              <w:t xml:space="preserve"> </w:t>
            </w:r>
          </w:p>
          <w:p w:rsidR="008A7B02" w:rsidRPr="00491C2E" w:rsidRDefault="00491C2E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>על מחתות, מטות, ומה שביניהם, אוניברסיטת בר אילן - דף שבועי, 1020, פרשת קרח, תשע"ג.</w:t>
            </w:r>
            <w:r w:rsidR="00A71D9D" w:rsidRPr="00491C2E">
              <w:rPr>
                <w:rFonts w:cs="David" w:hint="cs"/>
                <w:rtl/>
              </w:rPr>
              <w:t xml:space="preserve"> </w:t>
            </w:r>
          </w:p>
          <w:p w:rsidR="00491C2E" w:rsidRPr="00491C2E" w:rsidRDefault="008A7B02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"בית ארבעה </w:t>
            </w:r>
            <w:proofErr w:type="spellStart"/>
            <w:r w:rsidRPr="00491C2E">
              <w:rPr>
                <w:rFonts w:cs="David" w:hint="cs"/>
                <w:rtl/>
              </w:rPr>
              <w:t>קבין</w:t>
            </w:r>
            <w:proofErr w:type="spellEnd"/>
            <w:r w:rsidRPr="00491C2E">
              <w:rPr>
                <w:rFonts w:cs="David" w:hint="cs"/>
                <w:rtl/>
              </w:rPr>
              <w:t xml:space="preserve">": לבירור חשבונה של משנה אחת במסכת בבא </w:t>
            </w:r>
            <w:proofErr w:type="spellStart"/>
            <w:r w:rsidRPr="00491C2E">
              <w:rPr>
                <w:rFonts w:cs="David" w:hint="cs"/>
                <w:rtl/>
              </w:rPr>
              <w:t>בתרא</w:t>
            </w:r>
            <w:proofErr w:type="spellEnd"/>
            <w:r w:rsidRPr="00491C2E">
              <w:rPr>
                <w:rFonts w:cs="David" w:hint="cs"/>
                <w:rtl/>
              </w:rPr>
              <w:t xml:space="preserve"> בידי מפר</w:t>
            </w:r>
            <w:r w:rsidR="00C509C8" w:rsidRPr="00491C2E">
              <w:rPr>
                <w:rFonts w:cs="David" w:hint="cs"/>
                <w:rtl/>
              </w:rPr>
              <w:t xml:space="preserve">שיה (יחד עם </w:t>
            </w:r>
            <w:proofErr w:type="spellStart"/>
            <w:r w:rsidR="00C509C8" w:rsidRPr="00491C2E">
              <w:rPr>
                <w:rFonts w:cs="David" w:hint="cs"/>
                <w:rtl/>
              </w:rPr>
              <w:t>י"מ</w:t>
            </w:r>
            <w:proofErr w:type="spellEnd"/>
            <w:r w:rsidR="00C509C8" w:rsidRPr="00491C2E">
              <w:rPr>
                <w:rFonts w:cs="David" w:hint="cs"/>
                <w:rtl/>
              </w:rPr>
              <w:t xml:space="preserve"> </w:t>
            </w:r>
            <w:proofErr w:type="spellStart"/>
            <w:r w:rsidR="00C509C8" w:rsidRPr="00491C2E">
              <w:rPr>
                <w:rFonts w:cs="David" w:hint="cs"/>
                <w:rtl/>
              </w:rPr>
              <w:t>שויקה</w:t>
            </w:r>
            <w:proofErr w:type="spellEnd"/>
            <w:r w:rsidR="00C509C8" w:rsidRPr="00491C2E">
              <w:rPr>
                <w:rFonts w:cs="David" w:hint="cs"/>
                <w:rtl/>
              </w:rPr>
              <w:t xml:space="preserve">), </w:t>
            </w:r>
            <w:proofErr w:type="spellStart"/>
            <w:r w:rsidR="00C509C8" w:rsidRPr="00491C2E">
              <w:rPr>
                <w:rFonts w:cs="David" w:hint="cs"/>
                <w:u w:val="single"/>
                <w:rtl/>
              </w:rPr>
              <w:t>סידרא</w:t>
            </w:r>
            <w:proofErr w:type="spellEnd"/>
            <w:r w:rsidR="00491C2E">
              <w:rPr>
                <w:rFonts w:cs="David" w:hint="cs"/>
                <w:rtl/>
              </w:rPr>
              <w:t>,</w:t>
            </w:r>
            <w:r w:rsidR="00C509C8" w:rsidRPr="00491C2E">
              <w:rPr>
                <w:rFonts w:cs="David" w:hint="cs"/>
                <w:rtl/>
              </w:rPr>
              <w:t xml:space="preserve"> </w:t>
            </w:r>
            <w:proofErr w:type="spellStart"/>
            <w:r w:rsidR="00C509C8" w:rsidRPr="00491C2E">
              <w:rPr>
                <w:rFonts w:cs="David" w:hint="cs"/>
                <w:rtl/>
              </w:rPr>
              <w:t>כט</w:t>
            </w:r>
            <w:proofErr w:type="spellEnd"/>
            <w:r w:rsidR="00C509C8" w:rsidRPr="00491C2E">
              <w:rPr>
                <w:rFonts w:cs="David" w:hint="cs"/>
                <w:rtl/>
              </w:rPr>
              <w:t xml:space="preserve"> [תשע"ד], עמ' 127-147</w:t>
            </w:r>
            <w:r w:rsidR="00491C2E" w:rsidRPr="00491C2E">
              <w:rPr>
                <w:rFonts w:cs="David" w:hint="cs"/>
                <w:rtl/>
              </w:rPr>
              <w:t xml:space="preserve">. </w:t>
            </w:r>
          </w:p>
          <w:p w:rsidR="00491C2E" w:rsidRPr="00491C2E" w:rsidRDefault="00491C2E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התורה המשחקת על הבריות, אוניברסיטת בר אילן - דף שבועי, 1044, פרשת וישב, תשע"ד. </w:t>
            </w:r>
          </w:p>
          <w:p w:rsidR="00491C2E" w:rsidRPr="00491C2E" w:rsidRDefault="00491C2E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אחת דיבר א-להים שתים זו שמעתי: על איסור הכלאים ב'קדושים' </w:t>
            </w:r>
            <w:proofErr w:type="spellStart"/>
            <w:r w:rsidRPr="00491C2E">
              <w:rPr>
                <w:rFonts w:cs="David" w:hint="cs"/>
                <w:rtl/>
              </w:rPr>
              <w:t>וב'כי</w:t>
            </w:r>
            <w:proofErr w:type="spellEnd"/>
            <w:r w:rsidRPr="00491C2E">
              <w:rPr>
                <w:rFonts w:cs="David" w:hint="cs"/>
                <w:rtl/>
              </w:rPr>
              <w:t xml:space="preserve"> תצא', אוניברסיטת בר אילן - דף שבועי, 1065, פרשת קדושים, תשע"ד. </w:t>
            </w:r>
          </w:p>
          <w:p w:rsidR="00491C2E" w:rsidRPr="00491C2E" w:rsidRDefault="00491C2E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כמה שנים ישבו ישראל במצרים, אוניברסיטת בר אילן - דף שבועי, 1104, פרשת בא, תשע"ה. </w:t>
            </w:r>
          </w:p>
          <w:p w:rsidR="00491C2E" w:rsidRPr="00491C2E" w:rsidRDefault="00491C2E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 w:hint="cs"/>
                <w:rtl/>
              </w:rPr>
              <w:t xml:space="preserve">לתולדות היתר עבודה בשביעית משום </w:t>
            </w:r>
            <w:proofErr w:type="spellStart"/>
            <w:r w:rsidRPr="00491C2E">
              <w:rPr>
                <w:rFonts w:cs="David" w:hint="cs"/>
                <w:rtl/>
              </w:rPr>
              <w:t>ארנונא</w:t>
            </w:r>
            <w:proofErr w:type="spellEnd"/>
            <w:r w:rsidRPr="00491C2E">
              <w:rPr>
                <w:rFonts w:cs="David" w:hint="cs"/>
                <w:rtl/>
              </w:rPr>
              <w:t xml:space="preserve">, </w:t>
            </w:r>
            <w:r w:rsidRPr="00491C2E">
              <w:rPr>
                <w:rFonts w:cs="David"/>
                <w:u w:val="single"/>
              </w:rPr>
              <w:t>JSIJ</w:t>
            </w:r>
            <w:r w:rsidRPr="00491C2E">
              <w:rPr>
                <w:rFonts w:cs="David" w:hint="cs"/>
                <w:rtl/>
              </w:rPr>
              <w:t xml:space="preserve"> (בדפוס. 23 עמודים). </w:t>
            </w:r>
          </w:p>
          <w:p w:rsidR="008A7B02" w:rsidRPr="00491C2E" w:rsidRDefault="00491C2E" w:rsidP="00DE5955">
            <w:pPr>
              <w:numPr>
                <w:ilvl w:val="0"/>
                <w:numId w:val="1"/>
              </w:numPr>
              <w:suppressLineNumbers/>
              <w:autoSpaceDE w:val="0"/>
              <w:autoSpaceDN w:val="0"/>
              <w:spacing w:line="360" w:lineRule="auto"/>
              <w:jc w:val="both"/>
              <w:rPr>
                <w:rFonts w:cs="David"/>
              </w:rPr>
            </w:pPr>
            <w:r w:rsidRPr="00491C2E">
              <w:rPr>
                <w:rFonts w:cs="David"/>
              </w:rPr>
              <w:t>“</w:t>
            </w:r>
            <w:r w:rsidRPr="00491C2E">
              <w:rPr>
                <w:rFonts w:cs="David" w:hint="cs"/>
              </w:rPr>
              <w:t xml:space="preserve">An Analysis of </w:t>
            </w:r>
            <w:proofErr w:type="spellStart"/>
            <w:r w:rsidRPr="00491C2E">
              <w:rPr>
                <w:rFonts w:cs="David" w:hint="cs"/>
              </w:rPr>
              <w:t>Nahmanides</w:t>
            </w:r>
            <w:proofErr w:type="spellEnd"/>
            <w:r w:rsidRPr="00491C2E">
              <w:rPr>
                <w:rFonts w:cs="David"/>
              </w:rPr>
              <w:t xml:space="preserve">’ </w:t>
            </w:r>
            <w:r w:rsidRPr="00491C2E">
              <w:rPr>
                <w:rFonts w:cs="David" w:hint="cs"/>
              </w:rPr>
              <w:t>Exegetical Approach in His Biblical Commentary,</w:t>
            </w:r>
            <w:r w:rsidRPr="00491C2E">
              <w:rPr>
                <w:rFonts w:cs="David"/>
              </w:rPr>
              <w:t>”</w:t>
            </w:r>
            <w:r w:rsidRPr="00491C2E">
              <w:rPr>
                <w:rFonts w:cs="David" w:hint="cs"/>
              </w:rPr>
              <w:t xml:space="preserve"> in </w:t>
            </w:r>
            <w:r w:rsidRPr="00491C2E">
              <w:rPr>
                <w:rFonts w:cs="David" w:hint="cs"/>
                <w:i/>
                <w:iCs/>
              </w:rPr>
              <w:t xml:space="preserve">Proceedings: Torah Study, Exegesis and Research - Marking the Centenary of </w:t>
            </w:r>
            <w:proofErr w:type="spellStart"/>
            <w:r w:rsidRPr="00491C2E">
              <w:rPr>
                <w:rFonts w:cs="David" w:hint="cs"/>
                <w:i/>
                <w:iCs/>
              </w:rPr>
              <w:t>Nehama</w:t>
            </w:r>
            <w:proofErr w:type="spellEnd"/>
            <w:r w:rsidRPr="00491C2E">
              <w:rPr>
                <w:rFonts w:cs="David" w:hint="cs"/>
                <w:i/>
                <w:iCs/>
              </w:rPr>
              <w:t xml:space="preserve"> Leibowitz's Birth</w:t>
            </w:r>
            <w:r w:rsidRPr="00491C2E">
              <w:rPr>
                <w:rFonts w:cs="David" w:hint="cs"/>
              </w:rPr>
              <w:t xml:space="preserve">, ed. Shmuel </w:t>
            </w:r>
            <w:proofErr w:type="spellStart"/>
            <w:r w:rsidRPr="00491C2E">
              <w:rPr>
                <w:rFonts w:cs="David" w:hint="cs"/>
              </w:rPr>
              <w:t>Wygoda</w:t>
            </w:r>
            <w:proofErr w:type="spellEnd"/>
            <w:r w:rsidRPr="00491C2E">
              <w:rPr>
                <w:rFonts w:cs="David" w:hint="cs"/>
              </w:rPr>
              <w:t xml:space="preserve">, Moshe </w:t>
            </w:r>
            <w:proofErr w:type="spellStart"/>
            <w:r w:rsidRPr="00491C2E">
              <w:rPr>
                <w:rFonts w:cs="David" w:hint="cs"/>
              </w:rPr>
              <w:t>Sokolow</w:t>
            </w:r>
            <w:proofErr w:type="spellEnd"/>
            <w:r w:rsidRPr="00491C2E">
              <w:rPr>
                <w:rFonts w:cs="David"/>
              </w:rPr>
              <w:t xml:space="preserve">. </w:t>
            </w:r>
            <w:r w:rsidRPr="00491C2E">
              <w:rPr>
                <w:rFonts w:cs="David" w:hint="cs"/>
              </w:rPr>
              <w:t xml:space="preserve">The Van Leer Jerusalem </w:t>
            </w:r>
            <w:proofErr w:type="spellStart"/>
            <w:r w:rsidRPr="00491C2E">
              <w:rPr>
                <w:rFonts w:cs="David" w:hint="cs"/>
              </w:rPr>
              <w:t>Institude</w:t>
            </w:r>
            <w:proofErr w:type="spellEnd"/>
            <w:r w:rsidRPr="00491C2E">
              <w:rPr>
                <w:rFonts w:cs="David"/>
              </w:rPr>
              <w:t>, (Forthcoming, 20 pp.)</w:t>
            </w:r>
          </w:p>
          <w:p w:rsidR="008A7B02" w:rsidRPr="00491C2E" w:rsidRDefault="008A7B02" w:rsidP="00DE5955">
            <w:pPr>
              <w:spacing w:line="360" w:lineRule="auto"/>
              <w:jc w:val="both"/>
              <w:rPr>
                <w:rFonts w:cs="David" w:hint="cs"/>
                <w:noProof/>
                <w:u w:val="single"/>
                <w:rtl/>
                <w:lang w:eastAsia="he-IL"/>
              </w:rPr>
            </w:pPr>
          </w:p>
        </w:tc>
      </w:tr>
    </w:tbl>
    <w:p w:rsidR="008A7B02" w:rsidRPr="00491C2E" w:rsidRDefault="00491C2E" w:rsidP="00DE5955">
      <w:pPr>
        <w:spacing w:line="360" w:lineRule="auto"/>
        <w:ind w:firstLine="720"/>
        <w:jc w:val="both"/>
        <w:rPr>
          <w:rFonts w:cs="David"/>
          <w:b/>
          <w:bCs/>
          <w:u w:val="single"/>
          <w:rtl/>
        </w:rPr>
      </w:pPr>
      <w:r w:rsidRPr="00491C2E">
        <w:rPr>
          <w:rFonts w:cs="David" w:hint="cs"/>
          <w:b/>
          <w:bCs/>
          <w:u w:val="single"/>
          <w:rtl/>
        </w:rPr>
        <w:lastRenderedPageBreak/>
        <w:t>ספרים</w:t>
      </w:r>
    </w:p>
    <w:p w:rsidR="00491C2E" w:rsidRPr="00491C2E" w:rsidRDefault="00491C2E" w:rsidP="00DE595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כתב יד תימני למסכת סנהדרין (בבלי) ומקומו במסורת הנוסח, ירושלים תשנ"ח.</w:t>
      </w:r>
    </w:p>
    <w:sectPr w:rsidR="00491C2E" w:rsidRPr="00491C2E" w:rsidSect="00F11C1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3DC"/>
    <w:multiLevelType w:val="hybridMultilevel"/>
    <w:tmpl w:val="34B4565C"/>
    <w:lvl w:ilvl="0" w:tplc="5D74C8DA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02"/>
    <w:rsid w:val="000310D8"/>
    <w:rsid w:val="0004294E"/>
    <w:rsid w:val="00491C2E"/>
    <w:rsid w:val="004C587A"/>
    <w:rsid w:val="00503BF0"/>
    <w:rsid w:val="008148F0"/>
    <w:rsid w:val="008A7B02"/>
    <w:rsid w:val="009B35BF"/>
    <w:rsid w:val="00A71D9D"/>
    <w:rsid w:val="00AB3C3C"/>
    <w:rsid w:val="00C509C8"/>
    <w:rsid w:val="00DE5955"/>
    <w:rsid w:val="00E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7B02"/>
    <w:pPr>
      <w:suppressLineNumbers/>
      <w:tabs>
        <w:tab w:val="right" w:pos="8029"/>
      </w:tabs>
      <w:autoSpaceDE w:val="0"/>
      <w:autoSpaceDN w:val="0"/>
      <w:spacing w:line="480" w:lineRule="auto"/>
      <w:ind w:left="233" w:hanging="233"/>
    </w:pPr>
    <w:rPr>
      <w:rFonts w:cs="David"/>
      <w:szCs w:val="26"/>
    </w:rPr>
  </w:style>
  <w:style w:type="character" w:customStyle="1" w:styleId="20">
    <w:name w:val="גוף טקסט 2 תו"/>
    <w:basedOn w:val="a0"/>
    <w:link w:val="2"/>
    <w:rsid w:val="008A7B02"/>
    <w:rPr>
      <w:rFonts w:ascii="Times New Roman" w:eastAsia="Times New Roman" w:hAnsi="Times New Roman" w:cs="David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7B02"/>
    <w:pPr>
      <w:suppressLineNumbers/>
      <w:tabs>
        <w:tab w:val="right" w:pos="8029"/>
      </w:tabs>
      <w:autoSpaceDE w:val="0"/>
      <w:autoSpaceDN w:val="0"/>
      <w:spacing w:line="480" w:lineRule="auto"/>
      <w:ind w:left="233" w:hanging="233"/>
    </w:pPr>
    <w:rPr>
      <w:rFonts w:cs="David"/>
      <w:szCs w:val="26"/>
    </w:rPr>
  </w:style>
  <w:style w:type="character" w:customStyle="1" w:styleId="20">
    <w:name w:val="גוף טקסט 2 תו"/>
    <w:basedOn w:val="a0"/>
    <w:link w:val="2"/>
    <w:rsid w:val="008A7B02"/>
    <w:rPr>
      <w:rFonts w:ascii="Times New Roman" w:eastAsia="Times New Roman" w:hAnsi="Times New Roman" w:cs="David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3766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2015-04-19T08:37:00Z</dcterms:created>
  <dcterms:modified xsi:type="dcterms:W3CDTF">2015-04-19T08:37:00Z</dcterms:modified>
</cp:coreProperties>
</file>