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C" w:rsidRPr="003E0306" w:rsidRDefault="009A4097" w:rsidP="00A1410E">
      <w:pPr>
        <w:pStyle w:val="2"/>
        <w:bidi/>
        <w:rPr>
          <w:b/>
          <w:bCs/>
          <w:snapToGrid w:val="0"/>
          <w:u w:val="none"/>
        </w:rPr>
      </w:pPr>
      <w:r>
        <w:rPr>
          <w:rFonts w:hint="cs"/>
          <w:b/>
          <w:bCs/>
          <w:snapToGrid w:val="0"/>
          <w:u w:val="none"/>
          <w:rtl/>
        </w:rPr>
        <w:t>פ</w:t>
      </w:r>
      <w:r w:rsidR="00C6620F" w:rsidRPr="003E0306">
        <w:rPr>
          <w:b/>
          <w:bCs/>
          <w:snapToGrid w:val="0"/>
          <w:u w:val="none"/>
          <w:rtl/>
        </w:rPr>
        <w:t>רסומים</w:t>
      </w:r>
      <w:r w:rsidR="002F165C" w:rsidRPr="003E0306">
        <w:rPr>
          <w:b/>
          <w:bCs/>
          <w:snapToGrid w:val="0"/>
          <w:u w:val="none"/>
        </w:rPr>
        <w:t xml:space="preserve"> </w:t>
      </w:r>
    </w:p>
    <w:p w:rsidR="00F0239F" w:rsidRDefault="00F0239F" w:rsidP="002237B9">
      <w:pPr>
        <w:pStyle w:val="4"/>
        <w:bidi/>
        <w:rPr>
          <w:snapToGrid w:val="0"/>
          <w:rtl/>
        </w:rPr>
      </w:pPr>
      <w:r>
        <w:rPr>
          <w:rFonts w:hint="cs"/>
          <w:snapToGrid w:val="0"/>
          <w:rtl/>
        </w:rPr>
        <w:t>ספרים</w:t>
      </w:r>
    </w:p>
    <w:p w:rsidR="00F0239F" w:rsidRDefault="00F0239F" w:rsidP="00F0239F">
      <w:pPr>
        <w:numPr>
          <w:ilvl w:val="0"/>
          <w:numId w:val="25"/>
        </w:numPr>
      </w:pPr>
      <w:r>
        <w:rPr>
          <w:rFonts w:hint="cs"/>
          <w:rtl/>
        </w:rPr>
        <w:t xml:space="preserve">כתבור בהרים </w:t>
      </w:r>
      <w:r>
        <w:rPr>
          <w:rtl/>
        </w:rPr>
        <w:t xml:space="preserve">כתבור בהרים: מחקרים בתורה שבעל פה מוגשים לפרופסור יוסף </w:t>
      </w:r>
      <w:proofErr w:type="spellStart"/>
      <w:r>
        <w:rPr>
          <w:rtl/>
        </w:rPr>
        <w:t>תבורי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בעריכת ארנון עצמון וצור שפיר</w:t>
      </w:r>
      <w:r>
        <w:rPr>
          <w:rFonts w:hint="cs"/>
          <w:rtl/>
        </w:rPr>
        <w:t xml:space="preserve">, </w:t>
      </w:r>
      <w:r>
        <w:rPr>
          <w:rtl/>
        </w:rPr>
        <w:t>אלון שבות: תבונות - מכללת הרצוג, תשע"ג.</w:t>
      </w:r>
    </w:p>
    <w:p w:rsidR="00F0239F" w:rsidRPr="00F0239F" w:rsidRDefault="002E2420" w:rsidP="002E2420">
      <w:pPr>
        <w:numPr>
          <w:ilvl w:val="0"/>
          <w:numId w:val="25"/>
        </w:numPr>
        <w:rPr>
          <w:rtl/>
        </w:rPr>
      </w:pPr>
      <w:r>
        <w:rPr>
          <w:rtl/>
        </w:rPr>
        <w:t>מדרש אסתר רבה: מהדורה ביקורתית על פי כתבי יד, עם מבוא, מסורת המדרש, שינויי נוסחאות ופירוש</w:t>
      </w:r>
      <w:r>
        <w:rPr>
          <w:rFonts w:hint="cs"/>
          <w:rtl/>
        </w:rPr>
        <w:t>,</w:t>
      </w:r>
      <w:r>
        <w:rPr>
          <w:rtl/>
        </w:rPr>
        <w:t xml:space="preserve"> מאת יוסף </w:t>
      </w:r>
      <w:proofErr w:type="spellStart"/>
      <w:r>
        <w:rPr>
          <w:rtl/>
        </w:rPr>
        <w:t>תבורי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ארנון עצמון</w:t>
      </w:r>
      <w:r>
        <w:rPr>
          <w:rFonts w:hint="cs"/>
          <w:rtl/>
        </w:rPr>
        <w:t xml:space="preserve">, </w:t>
      </w:r>
      <w:r>
        <w:rPr>
          <w:rtl/>
        </w:rPr>
        <w:t xml:space="preserve">ירושלים: מפעל המדרש שליד מכון שכטר למדעי היהדות, תשע"ה. </w:t>
      </w:r>
      <w:r>
        <w:rPr>
          <w:rtl/>
        </w:rPr>
        <w:t>‬</w:t>
      </w:r>
    </w:p>
    <w:p w:rsidR="002237B9" w:rsidRDefault="00265667" w:rsidP="00F0239F">
      <w:pPr>
        <w:pStyle w:val="4"/>
        <w:bidi/>
        <w:rPr>
          <w:snapToGrid w:val="0"/>
          <w:rtl/>
        </w:rPr>
      </w:pPr>
      <w:r>
        <w:rPr>
          <w:rFonts w:hint="cs"/>
          <w:snapToGrid w:val="0"/>
          <w:rtl/>
        </w:rPr>
        <w:t>מאמרים</w:t>
      </w:r>
    </w:p>
    <w:p w:rsidR="002237B9" w:rsidRDefault="002237B9" w:rsidP="002237B9">
      <w:pPr>
        <w:numPr>
          <w:ilvl w:val="0"/>
          <w:numId w:val="10"/>
        </w:numPr>
        <w:rPr>
          <w:sz w:val="24"/>
        </w:rPr>
      </w:pPr>
      <w:r w:rsidRPr="00B331A9">
        <w:rPr>
          <w:rtl/>
        </w:rPr>
        <w:t xml:space="preserve">'"מעשה אסתר" בפרקי דר' אליעזר ובמדרש </w:t>
      </w:r>
      <w:proofErr w:type="spellStart"/>
      <w:r w:rsidRPr="00B331A9">
        <w:rPr>
          <w:rtl/>
        </w:rPr>
        <w:t>אסת"ר</w:t>
      </w:r>
      <w:proofErr w:type="spellEnd"/>
      <w:r w:rsidRPr="00B331A9">
        <w:rPr>
          <w:rtl/>
        </w:rPr>
        <w:t xml:space="preserve"> ב': לביסוסה של זיקה בין מקבילות בספרות חז"ל", תרביץ, </w:t>
      </w:r>
      <w:proofErr w:type="spellStart"/>
      <w:r w:rsidRPr="00B331A9">
        <w:rPr>
          <w:rtl/>
        </w:rPr>
        <w:t>עה</w:t>
      </w:r>
      <w:proofErr w:type="spellEnd"/>
      <w:r w:rsidRPr="00B331A9">
        <w:rPr>
          <w:rtl/>
        </w:rPr>
        <w:t xml:space="preserve"> (תשס"ו), עמ' 329–343</w:t>
      </w:r>
      <w:r>
        <w:rPr>
          <w:rFonts w:hint="cs"/>
          <w:sz w:val="24"/>
          <w:rtl/>
        </w:rPr>
        <w:t>.</w:t>
      </w:r>
    </w:p>
    <w:p w:rsidR="002237B9" w:rsidRPr="002237B9" w:rsidRDefault="002237B9" w:rsidP="002237B9">
      <w:pPr>
        <w:numPr>
          <w:ilvl w:val="0"/>
          <w:numId w:val="10"/>
        </w:numPr>
      </w:pPr>
      <w:r>
        <w:rPr>
          <w:rFonts w:hint="cs"/>
          <w:sz w:val="24"/>
          <w:rtl/>
        </w:rPr>
        <w:t xml:space="preserve">'חלום מרדכי </w:t>
      </w:r>
      <w:r>
        <w:rPr>
          <w:sz w:val="24"/>
          <w:rtl/>
        </w:rPr>
        <w:t xml:space="preserve">– </w:t>
      </w:r>
      <w:r>
        <w:rPr>
          <w:rFonts w:hint="cs"/>
          <w:sz w:val="24"/>
          <w:rtl/>
        </w:rPr>
        <w:t xml:space="preserve">מהוספה לדרשה' </w:t>
      </w:r>
      <w:r>
        <w:rPr>
          <w:sz w:val="24"/>
          <w:rtl/>
        </w:rPr>
        <w:t xml:space="preserve">– </w:t>
      </w:r>
      <w:r w:rsidRPr="0059176F">
        <w:rPr>
          <w:i/>
          <w:iCs/>
          <w:sz w:val="24"/>
        </w:rPr>
        <w:t>Jewish Studies, an Internet</w:t>
      </w:r>
      <w:r>
        <w:rPr>
          <w:i/>
          <w:iCs/>
          <w:sz w:val="24"/>
        </w:rPr>
        <w:t xml:space="preserve"> </w:t>
      </w:r>
      <w:r w:rsidRPr="0059176F">
        <w:rPr>
          <w:i/>
          <w:iCs/>
          <w:sz w:val="24"/>
        </w:rPr>
        <w:t>Journal</w:t>
      </w:r>
      <w:r w:rsidRPr="0059176F">
        <w:rPr>
          <w:sz w:val="24"/>
        </w:rPr>
        <w:t xml:space="preserve">, </w:t>
      </w:r>
      <w:r>
        <w:rPr>
          <w:sz w:val="24"/>
        </w:rPr>
        <w:t>6</w:t>
      </w:r>
      <w:r w:rsidRPr="0059176F">
        <w:rPr>
          <w:sz w:val="24"/>
        </w:rPr>
        <w:t xml:space="preserve"> (200</w:t>
      </w:r>
      <w:r>
        <w:rPr>
          <w:sz w:val="24"/>
        </w:rPr>
        <w:t>7</w:t>
      </w:r>
      <w:r w:rsidRPr="0059176F">
        <w:rPr>
          <w:sz w:val="24"/>
        </w:rPr>
        <w:t>),</w:t>
      </w:r>
      <w:r>
        <w:rPr>
          <w:sz w:val="24"/>
        </w:rPr>
        <w:t xml:space="preserve"> </w:t>
      </w:r>
      <w:hyperlink r:id="rId8" w:history="1">
        <w:r w:rsidRPr="00291228">
          <w:rPr>
            <w:rStyle w:val="Hyperlink"/>
            <w:sz w:val="24"/>
          </w:rPr>
          <w:t>http://www.biu.ac.il/JS/JSIJ/6-2007/Atzmon.pdf</w:t>
        </w:r>
      </w:hyperlink>
      <w:r w:rsidRPr="00291228">
        <w:rPr>
          <w:sz w:val="24"/>
          <w:rtl/>
        </w:rPr>
        <w:t>.</w:t>
      </w:r>
    </w:p>
    <w:p w:rsidR="002237B9" w:rsidRDefault="002237B9" w:rsidP="002237B9">
      <w:pPr>
        <w:numPr>
          <w:ilvl w:val="0"/>
          <w:numId w:val="10"/>
        </w:numPr>
      </w:pPr>
      <w:r w:rsidRPr="00FD01C6">
        <w:rPr>
          <w:rFonts w:hint="cs"/>
          <w:sz w:val="24"/>
          <w:rtl/>
        </w:rPr>
        <w:t>'</w:t>
      </w:r>
      <w:r w:rsidRPr="00FD01C6">
        <w:rPr>
          <w:sz w:val="24"/>
          <w:rtl/>
        </w:rPr>
        <w:t xml:space="preserve">הגדה </w:t>
      </w:r>
      <w:proofErr w:type="spellStart"/>
      <w:r w:rsidRPr="00FD01C6">
        <w:rPr>
          <w:sz w:val="24"/>
          <w:rtl/>
        </w:rPr>
        <w:t>דמגילת</w:t>
      </w:r>
      <w:proofErr w:type="spellEnd"/>
      <w:r w:rsidRPr="00FD01C6">
        <w:rPr>
          <w:sz w:val="24"/>
          <w:rtl/>
        </w:rPr>
        <w:t xml:space="preserve"> אסתר </w:t>
      </w:r>
      <w:r>
        <w:rPr>
          <w:sz w:val="24"/>
          <w:rtl/>
        </w:rPr>
        <w:t xml:space="preserve">– </w:t>
      </w:r>
      <w:r w:rsidRPr="00FD01C6">
        <w:rPr>
          <w:sz w:val="24"/>
          <w:rtl/>
        </w:rPr>
        <w:t>לדרכו של מלקט</w:t>
      </w:r>
      <w:r w:rsidRPr="00FD01C6">
        <w:rPr>
          <w:rFonts w:hint="cs"/>
          <w:sz w:val="24"/>
          <w:rtl/>
        </w:rPr>
        <w:t>'</w:t>
      </w:r>
      <w:r>
        <w:rPr>
          <w:rFonts w:hint="cs"/>
          <w:sz w:val="24"/>
          <w:rtl/>
        </w:rPr>
        <w:t>,</w:t>
      </w:r>
      <w:r w:rsidRPr="00FD01C6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איגוד </w:t>
      </w:r>
      <w:r>
        <w:rPr>
          <w:sz w:val="24"/>
          <w:rtl/>
        </w:rPr>
        <w:t xml:space="preserve">– </w:t>
      </w:r>
      <w:r>
        <w:rPr>
          <w:rFonts w:hint="cs"/>
          <w:sz w:val="24"/>
          <w:rtl/>
        </w:rPr>
        <w:t xml:space="preserve">מבחר מאמרים במדעי היהדות, א, </w:t>
      </w:r>
      <w:r w:rsidR="00B13FD9">
        <w:rPr>
          <w:rFonts w:hint="cs"/>
          <w:sz w:val="24"/>
          <w:rtl/>
        </w:rPr>
        <w:t xml:space="preserve">תשס"ח, עמ' </w:t>
      </w:r>
      <w:r>
        <w:rPr>
          <w:rFonts w:hint="cs"/>
          <w:sz w:val="24"/>
          <w:rtl/>
        </w:rPr>
        <w:t>277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>291</w:t>
      </w:r>
      <w:r w:rsidR="00560A06">
        <w:rPr>
          <w:rFonts w:hint="cs"/>
          <w:rtl/>
        </w:rPr>
        <w:t>.</w:t>
      </w:r>
    </w:p>
    <w:p w:rsidR="00560A06" w:rsidRDefault="00560A06" w:rsidP="00221A9D">
      <w:pPr>
        <w:numPr>
          <w:ilvl w:val="0"/>
          <w:numId w:val="10"/>
        </w:numPr>
        <w:rPr>
          <w:i/>
          <w:iCs/>
          <w:color w:val="000000"/>
          <w:sz w:val="24"/>
        </w:rPr>
      </w:pPr>
      <w:r>
        <w:rPr>
          <w:sz w:val="24"/>
        </w:rPr>
        <w:t>"</w:t>
      </w:r>
      <w:r w:rsidRPr="00FD01C6">
        <w:rPr>
          <w:sz w:val="24"/>
        </w:rPr>
        <w:t>Old Wine in New Flasks: The Story of Late Neo-Classical Midrash</w:t>
      </w:r>
      <w:r>
        <w:rPr>
          <w:sz w:val="24"/>
        </w:rPr>
        <w:t>"</w:t>
      </w:r>
      <w:r w:rsidR="00221A9D">
        <w:rPr>
          <w:sz w:val="24"/>
        </w:rPr>
        <w:t xml:space="preserve">, </w:t>
      </w:r>
      <w:r w:rsidRPr="00C22146">
        <w:rPr>
          <w:i/>
          <w:iCs/>
          <w:color w:val="000000"/>
          <w:sz w:val="24"/>
        </w:rPr>
        <w:t>European Journal of Jewish Studies</w:t>
      </w:r>
      <w:r w:rsidRPr="005F2691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3/2 (2009), 183–203</w:t>
      </w:r>
      <w:r w:rsidRPr="005F2691">
        <w:rPr>
          <w:color w:val="000000"/>
          <w:sz w:val="24"/>
        </w:rPr>
        <w:t>.</w:t>
      </w:r>
    </w:p>
    <w:p w:rsidR="00221A9D" w:rsidRPr="002237B9" w:rsidRDefault="00221A9D" w:rsidP="00221A9D">
      <w:pPr>
        <w:numPr>
          <w:ilvl w:val="0"/>
          <w:numId w:val="10"/>
        </w:numPr>
        <w:rPr>
          <w:i/>
          <w:iCs/>
          <w:color w:val="000000"/>
          <w:sz w:val="24"/>
        </w:rPr>
      </w:pPr>
      <w:r>
        <w:rPr>
          <w:rFonts w:hint="cs"/>
          <w:sz w:val="24"/>
          <w:rtl/>
        </w:rPr>
        <w:t xml:space="preserve">'התרגום לאסתר: התרגום המדרשי או המדרש </w:t>
      </w:r>
      <w:proofErr w:type="spellStart"/>
      <w:r>
        <w:rPr>
          <w:rFonts w:hint="cs"/>
          <w:sz w:val="24"/>
          <w:rtl/>
        </w:rPr>
        <w:t>התרגומי</w:t>
      </w:r>
      <w:proofErr w:type="spellEnd"/>
      <w:r>
        <w:rPr>
          <w:rFonts w:hint="cs"/>
          <w:sz w:val="24"/>
          <w:rtl/>
        </w:rPr>
        <w:t xml:space="preserve">?', </w:t>
      </w:r>
      <w:r w:rsidRPr="002237B9">
        <w:rPr>
          <w:i/>
          <w:iCs/>
          <w:sz w:val="24"/>
        </w:rPr>
        <w:t>Hebrew Union College Annual</w:t>
      </w:r>
      <w:r w:rsidRPr="00221A9D">
        <w:rPr>
          <w:rFonts w:hint="cs"/>
          <w:sz w:val="24"/>
          <w:rtl/>
        </w:rPr>
        <w:t xml:space="preserve">, 80 (2009), עמ' </w:t>
      </w:r>
      <w:r>
        <w:rPr>
          <w:rFonts w:hint="cs"/>
          <w:color w:val="000000"/>
          <w:sz w:val="24"/>
          <w:rtl/>
        </w:rPr>
        <w:t>א-כ</w:t>
      </w:r>
      <w:r w:rsidRPr="002237B9">
        <w:rPr>
          <w:color w:val="000000"/>
          <w:sz w:val="24"/>
        </w:rPr>
        <w:t>.</w:t>
      </w:r>
    </w:p>
    <w:p w:rsidR="00670B3B" w:rsidRPr="00EC442D" w:rsidRDefault="00670B3B" w:rsidP="00670B3B">
      <w:pPr>
        <w:numPr>
          <w:ilvl w:val="0"/>
          <w:numId w:val="10"/>
        </w:numPr>
        <w:rPr>
          <w:snapToGrid w:val="0"/>
        </w:rPr>
      </w:pPr>
      <w:r>
        <w:rPr>
          <w:rFonts w:hint="cs"/>
          <w:rtl/>
        </w:rPr>
        <w:t>'</w:t>
      </w:r>
      <w:r w:rsidRPr="002237B9">
        <w:rPr>
          <w:rFonts w:hint="cs"/>
          <w:rtl/>
        </w:rPr>
        <w:t>שחזור נוסח המדרש על פי מקבילות-מקורות: פרדיגמה חדשה לבעיה ישנה</w:t>
      </w:r>
      <w:r>
        <w:rPr>
          <w:rFonts w:hint="cs"/>
          <w:rtl/>
        </w:rPr>
        <w:t xml:space="preserve">', </w:t>
      </w:r>
      <w:r w:rsidRPr="0059176F">
        <w:rPr>
          <w:i/>
          <w:iCs/>
          <w:sz w:val="24"/>
        </w:rPr>
        <w:t>Jewish Studies, an Internet</w:t>
      </w:r>
      <w:r>
        <w:rPr>
          <w:i/>
          <w:iCs/>
          <w:sz w:val="24"/>
        </w:rPr>
        <w:t xml:space="preserve"> </w:t>
      </w:r>
      <w:r w:rsidRPr="0059176F">
        <w:rPr>
          <w:i/>
          <w:iCs/>
          <w:sz w:val="24"/>
        </w:rPr>
        <w:t>Journal</w:t>
      </w:r>
      <w:r w:rsidRPr="0059176F">
        <w:rPr>
          <w:sz w:val="24"/>
        </w:rPr>
        <w:t xml:space="preserve">, </w:t>
      </w:r>
      <w:r>
        <w:rPr>
          <w:sz w:val="24"/>
        </w:rPr>
        <w:t>9</w:t>
      </w:r>
      <w:r w:rsidRPr="0059176F">
        <w:rPr>
          <w:sz w:val="24"/>
        </w:rPr>
        <w:t xml:space="preserve"> (20</w:t>
      </w:r>
      <w:r>
        <w:rPr>
          <w:sz w:val="24"/>
        </w:rPr>
        <w:t>1</w:t>
      </w:r>
      <w:r w:rsidRPr="0059176F">
        <w:rPr>
          <w:sz w:val="24"/>
        </w:rPr>
        <w:t>0)</w:t>
      </w:r>
      <w:r>
        <w:rPr>
          <w:sz w:val="24"/>
        </w:rPr>
        <w:t>,</w:t>
      </w:r>
      <w:hyperlink r:id="rId9" w:history="1">
        <w:r>
          <w:rPr>
            <w:rStyle w:val="Hyperlink"/>
            <w:rFonts w:hint="cs"/>
            <w:sz w:val="21"/>
            <w:szCs w:val="21"/>
          </w:rPr>
          <w:t>http://www.biu.ac.il/JS/JSIJ/9-2010/Atzmon.pdf</w:t>
        </w:r>
      </w:hyperlink>
    </w:p>
    <w:p w:rsidR="00221A9D" w:rsidRDefault="00221A9D" w:rsidP="00221A9D">
      <w:pPr>
        <w:numPr>
          <w:ilvl w:val="0"/>
          <w:numId w:val="10"/>
        </w:numPr>
        <w:jc w:val="left"/>
        <w:rPr>
          <w:i/>
          <w:iCs/>
          <w:color w:val="000000"/>
          <w:sz w:val="24"/>
        </w:rPr>
      </w:pPr>
      <w:r>
        <w:rPr>
          <w:color w:val="000000"/>
          <w:sz w:val="24"/>
        </w:rPr>
        <w:t>"</w:t>
      </w:r>
      <w:r>
        <w:rPr>
          <w:sz w:val="24"/>
        </w:rPr>
        <w:t>'</w:t>
      </w:r>
      <w:r w:rsidRPr="00C539DB">
        <w:rPr>
          <w:sz w:val="24"/>
        </w:rPr>
        <w:t xml:space="preserve">The Wise Woman from </w:t>
      </w:r>
      <w:proofErr w:type="spellStart"/>
      <w:r w:rsidRPr="00C539DB">
        <w:rPr>
          <w:sz w:val="24"/>
        </w:rPr>
        <w:t>Saida</w:t>
      </w:r>
      <w:proofErr w:type="spellEnd"/>
      <w:r>
        <w:rPr>
          <w:sz w:val="24"/>
        </w:rPr>
        <w:t>'</w:t>
      </w:r>
      <w:r w:rsidRPr="00C539DB">
        <w:rPr>
          <w:sz w:val="24"/>
        </w:rPr>
        <w:t xml:space="preserve"> – The Silent Dialogue </w:t>
      </w:r>
      <w:proofErr w:type="gramStart"/>
      <w:r w:rsidRPr="00C539DB">
        <w:rPr>
          <w:sz w:val="24"/>
        </w:rPr>
        <w:t xml:space="preserve">Between  </w:t>
      </w:r>
      <w:proofErr w:type="spellStart"/>
      <w:r w:rsidRPr="00D2766C">
        <w:rPr>
          <w:i/>
          <w:iCs/>
          <w:sz w:val="24"/>
        </w:rPr>
        <w:t>Aggada</w:t>
      </w:r>
      <w:r>
        <w:rPr>
          <w:i/>
          <w:iCs/>
          <w:sz w:val="24"/>
        </w:rPr>
        <w:t>h</w:t>
      </w:r>
      <w:proofErr w:type="spellEnd"/>
      <w:proofErr w:type="gramEnd"/>
      <w:r w:rsidRPr="00C539DB">
        <w:rPr>
          <w:sz w:val="24"/>
        </w:rPr>
        <w:t xml:space="preserve"> and </w:t>
      </w:r>
      <w:proofErr w:type="spellStart"/>
      <w:r w:rsidRPr="00C539DB">
        <w:rPr>
          <w:i/>
          <w:iCs/>
          <w:sz w:val="24"/>
        </w:rPr>
        <w:t>Halakha</w:t>
      </w:r>
      <w:r>
        <w:rPr>
          <w:i/>
          <w:iCs/>
          <w:sz w:val="24"/>
        </w:rPr>
        <w:t>h</w:t>
      </w:r>
      <w:proofErr w:type="spellEnd"/>
      <w:r w:rsidRPr="00C539DB">
        <w:rPr>
          <w:sz w:val="24"/>
        </w:rPr>
        <w:t xml:space="preserve"> Regarding Women and Marriage</w:t>
      </w:r>
      <w:r>
        <w:rPr>
          <w:sz w:val="24"/>
        </w:rPr>
        <w:t xml:space="preserve">", </w:t>
      </w:r>
      <w:r w:rsidRPr="00B04166">
        <w:rPr>
          <w:i/>
          <w:iCs/>
          <w:sz w:val="24"/>
        </w:rPr>
        <w:t>AJS Review</w:t>
      </w:r>
      <w:r>
        <w:rPr>
          <w:color w:val="000000"/>
          <w:sz w:val="24"/>
        </w:rPr>
        <w:t xml:space="preserve">, </w:t>
      </w:r>
      <w:r w:rsidRPr="000C4023">
        <w:rPr>
          <w:sz w:val="24"/>
        </w:rPr>
        <w:t>35:1 (2011), pp. 23–34.</w:t>
      </w:r>
    </w:p>
    <w:p w:rsidR="00EC442D" w:rsidRDefault="00EC442D" w:rsidP="00F57B55">
      <w:pPr>
        <w:numPr>
          <w:ilvl w:val="0"/>
          <w:numId w:val="10"/>
        </w:numPr>
        <w:rPr>
          <w:snapToGrid w:val="0"/>
        </w:rPr>
      </w:pPr>
      <w:r w:rsidRPr="00FD01C6">
        <w:rPr>
          <w:rFonts w:hint="cs"/>
          <w:rtl/>
        </w:rPr>
        <w:t>'המדרש המאוחר הניאו-קלאסי: עריכה והתהוות'</w:t>
      </w:r>
      <w:r>
        <w:rPr>
          <w:rFonts w:hint="cs"/>
          <w:rtl/>
        </w:rPr>
        <w:t xml:space="preserve"> </w:t>
      </w:r>
      <w:r w:rsidRPr="00FD01C6">
        <w:rPr>
          <w:rtl/>
        </w:rPr>
        <w:t xml:space="preserve">– </w:t>
      </w:r>
      <w:r>
        <w:rPr>
          <w:rFonts w:hint="cs"/>
          <w:rtl/>
        </w:rPr>
        <w:t>מלאכת מחשבת:</w:t>
      </w:r>
      <w:r>
        <w:rPr>
          <w:rtl/>
        </w:rPr>
        <w:t xml:space="preserve"> </w:t>
      </w:r>
      <w:r>
        <w:rPr>
          <w:rFonts w:hint="cs"/>
          <w:rtl/>
        </w:rPr>
        <w:t>קובץ מאמרים בנושאי עריכה והתפתחות של הספרות התלמודית, א' שמש וא' עמית (עורכים), רמת גן: הוצאת בר-אילן, תשע"א, עמ' 87</w:t>
      </w:r>
      <w:r>
        <w:rPr>
          <w:rtl/>
        </w:rPr>
        <w:t>–</w:t>
      </w:r>
      <w:r>
        <w:rPr>
          <w:rFonts w:hint="cs"/>
          <w:rtl/>
        </w:rPr>
        <w:t>99.</w:t>
      </w:r>
      <w:r>
        <w:rPr>
          <w:rFonts w:hint="cs"/>
          <w:snapToGrid w:val="0"/>
          <w:rtl/>
        </w:rPr>
        <w:t xml:space="preserve"> (גרסה עברית מורחבת של מאמר 6).</w:t>
      </w:r>
    </w:p>
    <w:p w:rsidR="00A214E8" w:rsidRDefault="00A214E8" w:rsidP="00C623C3">
      <w:pPr>
        <w:numPr>
          <w:ilvl w:val="0"/>
          <w:numId w:val="10"/>
        </w:numPr>
        <w:rPr>
          <w:snapToGrid w:val="0"/>
        </w:rPr>
      </w:pPr>
      <w:r>
        <w:rPr>
          <w:rFonts w:hint="cs"/>
          <w:snapToGrid w:val="0"/>
          <w:rtl/>
        </w:rPr>
        <w:t>'</w:t>
      </w:r>
      <w:r w:rsidRPr="00755A18">
        <w:rPr>
          <w:rFonts w:hint="cs"/>
          <w:rtl/>
        </w:rPr>
        <w:t>"הוא המן הוא השטן": להשתלשלותו של מדרש סיפורי למגילת אסתר</w:t>
      </w:r>
      <w:r>
        <w:rPr>
          <w:rFonts w:hint="cs"/>
          <w:snapToGrid w:val="0"/>
          <w:rtl/>
        </w:rPr>
        <w:t xml:space="preserve">', כרמי שלי: מחקרים באגדה ובפרשנותה מוגשים לפרופסור כרמי הורוביץ, </w:t>
      </w:r>
      <w:r w:rsidR="00715F9C">
        <w:rPr>
          <w:rFonts w:hint="cs"/>
          <w:snapToGrid w:val="0"/>
          <w:rtl/>
        </w:rPr>
        <w:t xml:space="preserve">נחם אילן, אברהם גרוסמן </w:t>
      </w:r>
      <w:r>
        <w:rPr>
          <w:rFonts w:hint="cs"/>
          <w:snapToGrid w:val="0"/>
          <w:rtl/>
        </w:rPr>
        <w:t xml:space="preserve">ואחרים (עורכים), ניו-יורק: </w:t>
      </w:r>
      <w:r w:rsidR="00C623C3">
        <w:rPr>
          <w:snapToGrid w:val="0"/>
        </w:rPr>
        <w:t>Academic Press</w:t>
      </w:r>
      <w:r>
        <w:rPr>
          <w:rFonts w:hint="cs"/>
          <w:snapToGrid w:val="0"/>
          <w:rtl/>
        </w:rPr>
        <w:t>, תשע"ב, עמ' 166</w:t>
      </w:r>
      <w:r>
        <w:rPr>
          <w:snapToGrid w:val="0"/>
          <w:rtl/>
        </w:rPr>
        <w:t>–</w:t>
      </w:r>
      <w:r>
        <w:rPr>
          <w:rFonts w:hint="cs"/>
          <w:snapToGrid w:val="0"/>
          <w:rtl/>
        </w:rPr>
        <w:t>176.</w:t>
      </w:r>
    </w:p>
    <w:p w:rsidR="006625A9" w:rsidRDefault="006625A9" w:rsidP="006625A9">
      <w:pPr>
        <w:numPr>
          <w:ilvl w:val="0"/>
          <w:numId w:val="10"/>
        </w:numPr>
        <w:rPr>
          <w:snapToGrid w:val="0"/>
        </w:rPr>
      </w:pPr>
      <w:r>
        <w:rPr>
          <w:rFonts w:hint="cs"/>
          <w:snapToGrid w:val="0"/>
          <w:rtl/>
        </w:rPr>
        <w:t>'</w:t>
      </w:r>
      <w:r w:rsidRPr="008A4CEE">
        <w:rPr>
          <w:snapToGrid w:val="0"/>
          <w:rtl/>
        </w:rPr>
        <w:t>"וישנֶּהָ... לטוב" (אס' ב 9): על פרשנות וזהות במגילת אסתר</w:t>
      </w:r>
      <w:r>
        <w:rPr>
          <w:rFonts w:hint="cs"/>
          <w:snapToGrid w:val="0"/>
          <w:rtl/>
        </w:rPr>
        <w:t xml:space="preserve">', בית מקרא, 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>/א (תשע"ב), עמ' 107</w:t>
      </w:r>
      <w:r>
        <w:rPr>
          <w:rFonts w:cs="FrankRuehl" w:hint="cs"/>
          <w:rtl/>
        </w:rPr>
        <w:t>–</w:t>
      </w:r>
      <w:r>
        <w:rPr>
          <w:rFonts w:hint="cs"/>
          <w:rtl/>
        </w:rPr>
        <w:t>123.</w:t>
      </w:r>
    </w:p>
    <w:p w:rsidR="007362FA" w:rsidRDefault="007362FA" w:rsidP="007362FA">
      <w:pPr>
        <w:numPr>
          <w:ilvl w:val="0"/>
          <w:numId w:val="10"/>
        </w:numPr>
        <w:rPr>
          <w:snapToGrid w:val="0"/>
        </w:rPr>
      </w:pPr>
      <w:r>
        <w:rPr>
          <w:rFonts w:hint="cs"/>
          <w:rtl/>
        </w:rPr>
        <w:t>'</w:t>
      </w:r>
      <w:r>
        <w:rPr>
          <w:rtl/>
        </w:rPr>
        <w:t>הגהות אות אמת למדרשי המגילות</w:t>
      </w:r>
      <w:r>
        <w:rPr>
          <w:rFonts w:hint="cs"/>
          <w:rtl/>
        </w:rPr>
        <w:t>'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סידרא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כז-כח</w:t>
      </w:r>
      <w:proofErr w:type="spellEnd"/>
      <w:r>
        <w:rPr>
          <w:rFonts w:hint="cs"/>
          <w:rtl/>
        </w:rPr>
        <w:t xml:space="preserve"> (תשע"ג), עמ' 211</w:t>
      </w:r>
      <w:r>
        <w:rPr>
          <w:rtl/>
        </w:rPr>
        <w:t>‒</w:t>
      </w:r>
      <w:r>
        <w:rPr>
          <w:rFonts w:hint="cs"/>
          <w:rtl/>
        </w:rPr>
        <w:t>222.</w:t>
      </w:r>
    </w:p>
    <w:p w:rsidR="007362FA" w:rsidRDefault="007362FA" w:rsidP="007362FA">
      <w:pPr>
        <w:ind w:left="720"/>
        <w:rPr>
          <w:snapToGrid w:val="0"/>
        </w:rPr>
      </w:pPr>
    </w:p>
    <w:p w:rsidR="00704EFB" w:rsidRPr="00704EFB" w:rsidRDefault="00221A9D" w:rsidP="002D1935">
      <w:pPr>
        <w:numPr>
          <w:ilvl w:val="0"/>
          <w:numId w:val="10"/>
        </w:numPr>
        <w:bidi w:val="0"/>
        <w:rPr>
          <w:i/>
          <w:iCs/>
          <w:color w:val="000000"/>
          <w:sz w:val="24"/>
        </w:rPr>
      </w:pPr>
      <w:r w:rsidRPr="00704EFB">
        <w:rPr>
          <w:sz w:val="24"/>
        </w:rPr>
        <w:lastRenderedPageBreak/>
        <w:t>"</w:t>
      </w:r>
      <w:r w:rsidRPr="00704EFB">
        <w:rPr>
          <w:color w:val="000000"/>
          <w:sz w:val="24"/>
        </w:rPr>
        <w:t xml:space="preserve">The Same Fate Is in Store for the Righteous and the Wicked: </w:t>
      </w:r>
      <w:r w:rsidRPr="00704EFB">
        <w:rPr>
          <w:color w:val="000000"/>
          <w:sz w:val="24"/>
        </w:rPr>
        <w:br/>
        <w:t xml:space="preserve">Form and Content in </w:t>
      </w:r>
      <w:proofErr w:type="spellStart"/>
      <w:r w:rsidRPr="00704EFB">
        <w:rPr>
          <w:color w:val="000000"/>
          <w:sz w:val="24"/>
        </w:rPr>
        <w:t>Midreshei</w:t>
      </w:r>
      <w:proofErr w:type="spellEnd"/>
      <w:r w:rsidRPr="00704EFB">
        <w:rPr>
          <w:color w:val="000000"/>
          <w:sz w:val="24"/>
        </w:rPr>
        <w:t xml:space="preserve"> </w:t>
      </w:r>
      <w:proofErr w:type="spellStart"/>
      <w:r w:rsidRPr="00704EFB">
        <w:rPr>
          <w:color w:val="000000"/>
          <w:sz w:val="24"/>
        </w:rPr>
        <w:t>Aggadah</w:t>
      </w:r>
      <w:proofErr w:type="spellEnd"/>
      <w:r w:rsidRPr="00704EFB">
        <w:rPr>
          <w:color w:val="000000"/>
          <w:sz w:val="24"/>
        </w:rPr>
        <w:t xml:space="preserve">", </w:t>
      </w:r>
      <w:r w:rsidR="002D1935" w:rsidRPr="002D1935">
        <w:rPr>
          <w:i/>
          <w:iCs/>
          <w:color w:val="000000"/>
          <w:sz w:val="24"/>
        </w:rPr>
        <w:t>Journal for the Study of Judaism</w:t>
      </w:r>
      <w:r w:rsidRPr="00704EFB">
        <w:rPr>
          <w:color w:val="000000"/>
          <w:sz w:val="24"/>
        </w:rPr>
        <w:t xml:space="preserve"> 43/1 (2012), pp. 58–77.</w:t>
      </w:r>
    </w:p>
    <w:p w:rsidR="00704EFB" w:rsidRPr="007F462E" w:rsidRDefault="00704EFB" w:rsidP="002D1935">
      <w:pPr>
        <w:numPr>
          <w:ilvl w:val="0"/>
          <w:numId w:val="10"/>
        </w:numPr>
        <w:bidi w:val="0"/>
        <w:rPr>
          <w:i/>
          <w:iCs/>
          <w:color w:val="000000"/>
          <w:sz w:val="24"/>
        </w:rPr>
      </w:pPr>
      <w:r w:rsidRPr="00704EFB">
        <w:rPr>
          <w:color w:val="000000"/>
          <w:sz w:val="24"/>
        </w:rPr>
        <w:t xml:space="preserve">"'In the Third Month': Shavuot and the Redaction of </w:t>
      </w:r>
      <w:proofErr w:type="spellStart"/>
      <w:r w:rsidRPr="00704EFB">
        <w:rPr>
          <w:color w:val="000000"/>
          <w:sz w:val="24"/>
        </w:rPr>
        <w:t>Pesikta</w:t>
      </w:r>
      <w:proofErr w:type="spellEnd"/>
      <w:r w:rsidRPr="00704EFB">
        <w:rPr>
          <w:color w:val="000000"/>
          <w:sz w:val="24"/>
        </w:rPr>
        <w:t xml:space="preserve"> de-</w:t>
      </w:r>
      <w:proofErr w:type="spellStart"/>
      <w:r w:rsidRPr="00704EFB">
        <w:rPr>
          <w:color w:val="000000"/>
          <w:sz w:val="24"/>
        </w:rPr>
        <w:t>Rav</w:t>
      </w:r>
      <w:proofErr w:type="spellEnd"/>
      <w:r w:rsidRPr="00704EFB">
        <w:rPr>
          <w:color w:val="000000"/>
          <w:sz w:val="24"/>
        </w:rPr>
        <w:t xml:space="preserve"> </w:t>
      </w:r>
      <w:proofErr w:type="spellStart"/>
      <w:r w:rsidRPr="00704EFB">
        <w:rPr>
          <w:color w:val="000000"/>
          <w:sz w:val="24"/>
        </w:rPr>
        <w:t>Kahana</w:t>
      </w:r>
      <w:proofErr w:type="spellEnd"/>
      <w:r w:rsidRPr="00704EFB">
        <w:rPr>
          <w:color w:val="000000"/>
          <w:sz w:val="24"/>
        </w:rPr>
        <w:t xml:space="preserve"> 12,"</w:t>
      </w:r>
      <w:r w:rsidRPr="00704EFB">
        <w:rPr>
          <w:i/>
          <w:iCs/>
          <w:color w:val="000000"/>
          <w:sz w:val="24"/>
        </w:rPr>
        <w:t xml:space="preserve"> </w:t>
      </w:r>
      <w:r w:rsidR="002D1935" w:rsidRPr="002D1935">
        <w:rPr>
          <w:i/>
          <w:iCs/>
          <w:color w:val="000000"/>
          <w:sz w:val="24"/>
        </w:rPr>
        <w:t>Journal of Ancient Judaism</w:t>
      </w:r>
      <w:r w:rsidRPr="00704EFB">
        <w:rPr>
          <w:color w:val="000000"/>
          <w:sz w:val="24"/>
        </w:rPr>
        <w:t>, accepted for publication.</w:t>
      </w:r>
    </w:p>
    <w:p w:rsidR="007F462E" w:rsidRPr="00221A9D" w:rsidRDefault="007F462E" w:rsidP="007F462E">
      <w:pPr>
        <w:numPr>
          <w:ilvl w:val="0"/>
          <w:numId w:val="10"/>
        </w:numPr>
        <w:bidi w:val="0"/>
        <w:rPr>
          <w:i/>
          <w:iCs/>
          <w:color w:val="000000"/>
          <w:sz w:val="24"/>
        </w:rPr>
      </w:pPr>
      <w:r>
        <w:rPr>
          <w:color w:val="000000"/>
          <w:sz w:val="24"/>
        </w:rPr>
        <w:t>"</w:t>
      </w:r>
      <w:r w:rsidRPr="007F462E">
        <w:rPr>
          <w:color w:val="000000"/>
          <w:sz w:val="24"/>
        </w:rPr>
        <w:t xml:space="preserve">Literature and Liturgy in Times of Transition </w:t>
      </w:r>
      <w:proofErr w:type="gramStart"/>
      <w:r w:rsidRPr="007F462E">
        <w:rPr>
          <w:color w:val="000000"/>
          <w:sz w:val="24"/>
        </w:rPr>
        <w:t>The</w:t>
      </w:r>
      <w:proofErr w:type="gramEnd"/>
      <w:r w:rsidRPr="007F462E">
        <w:rPr>
          <w:color w:val="000000"/>
          <w:sz w:val="24"/>
        </w:rPr>
        <w:t xml:space="preserve"> </w:t>
      </w:r>
      <w:proofErr w:type="spellStart"/>
      <w:r w:rsidRPr="007F462E">
        <w:rPr>
          <w:color w:val="000000"/>
          <w:sz w:val="24"/>
        </w:rPr>
        <w:t>Piska</w:t>
      </w:r>
      <w:proofErr w:type="spellEnd"/>
      <w:r w:rsidRPr="007F462E">
        <w:rPr>
          <w:color w:val="000000"/>
          <w:sz w:val="24"/>
        </w:rPr>
        <w:t xml:space="preserve"> "And It Happened at Midnight" from </w:t>
      </w:r>
      <w:proofErr w:type="spellStart"/>
      <w:r w:rsidRPr="007F462E">
        <w:rPr>
          <w:color w:val="000000"/>
          <w:sz w:val="24"/>
        </w:rPr>
        <w:t>Pesikta</w:t>
      </w:r>
      <w:proofErr w:type="spellEnd"/>
      <w:r w:rsidRPr="007F462E">
        <w:rPr>
          <w:color w:val="000000"/>
          <w:sz w:val="24"/>
        </w:rPr>
        <w:t xml:space="preserve"> de-</w:t>
      </w:r>
      <w:proofErr w:type="spellStart"/>
      <w:r w:rsidRPr="007F462E">
        <w:rPr>
          <w:color w:val="000000"/>
          <w:sz w:val="24"/>
        </w:rPr>
        <w:t>Rav</w:t>
      </w:r>
      <w:proofErr w:type="spellEnd"/>
      <w:r w:rsidRPr="007F462E">
        <w:rPr>
          <w:color w:val="000000"/>
          <w:sz w:val="24"/>
        </w:rPr>
        <w:t xml:space="preserve"> </w:t>
      </w:r>
      <w:proofErr w:type="spellStart"/>
      <w:r w:rsidRPr="007F462E">
        <w:rPr>
          <w:color w:val="000000"/>
          <w:sz w:val="24"/>
        </w:rPr>
        <w:t>Kahana</w:t>
      </w:r>
      <w:proofErr w:type="spellEnd"/>
      <w:r>
        <w:rPr>
          <w:color w:val="000000"/>
          <w:sz w:val="24"/>
        </w:rPr>
        <w:t xml:space="preserve">," </w:t>
      </w:r>
      <w:r w:rsidRPr="00B04166">
        <w:rPr>
          <w:i/>
          <w:iCs/>
          <w:sz w:val="24"/>
        </w:rPr>
        <w:t>AJS Review</w:t>
      </w:r>
      <w:r w:rsidRPr="00704EF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704EFB">
        <w:rPr>
          <w:color w:val="000000"/>
          <w:sz w:val="24"/>
        </w:rPr>
        <w:t>accepted for publication.</w:t>
      </w:r>
      <w:bookmarkStart w:id="0" w:name="_GoBack"/>
      <w:bookmarkEnd w:id="0"/>
    </w:p>
    <w:sectPr w:rsidR="007F462E" w:rsidRPr="00221A9D">
      <w:headerReference w:type="default" r:id="rId10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3B" w:rsidRDefault="00D1253B">
      <w:r>
        <w:separator/>
      </w:r>
    </w:p>
  </w:endnote>
  <w:endnote w:type="continuationSeparator" w:id="0">
    <w:p w:rsidR="00D1253B" w:rsidRDefault="00D1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3B" w:rsidRDefault="00D1253B">
      <w:r>
        <w:separator/>
      </w:r>
    </w:p>
  </w:footnote>
  <w:footnote w:type="continuationSeparator" w:id="0">
    <w:p w:rsidR="00D1253B" w:rsidRDefault="00D1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6" w:rsidRDefault="00290DB6">
    <w:pPr>
      <w:pStyle w:val="a6"/>
      <w:framePr w:wrap="auto" w:vAnchor="text" w:hAnchor="margin" w:xAlign="right" w:y="1"/>
      <w:rPr>
        <w:rStyle w:val="a8"/>
        <w:rFonts w:cs="Miriam"/>
        <w:rtl/>
      </w:rPr>
    </w:pPr>
    <w:r>
      <w:rPr>
        <w:rStyle w:val="a8"/>
        <w:rFonts w:cs="Miriam"/>
      </w:rPr>
      <w:fldChar w:fldCharType="begin"/>
    </w:r>
    <w:r>
      <w:rPr>
        <w:rStyle w:val="a8"/>
        <w:rFonts w:cs="Miriam"/>
      </w:rPr>
      <w:instrText xml:space="preserve">PAGE  </w:instrText>
    </w:r>
    <w:r>
      <w:rPr>
        <w:rStyle w:val="a8"/>
        <w:rFonts w:cs="Miriam"/>
      </w:rPr>
      <w:fldChar w:fldCharType="separate"/>
    </w:r>
    <w:r w:rsidR="009A4097">
      <w:rPr>
        <w:rStyle w:val="a8"/>
        <w:rFonts w:cs="Miriam"/>
        <w:noProof/>
        <w:rtl/>
      </w:rPr>
      <w:t>2</w:t>
    </w:r>
    <w:r>
      <w:rPr>
        <w:rStyle w:val="a8"/>
        <w:rFonts w:cs="Miriam"/>
      </w:rPr>
      <w:fldChar w:fldCharType="end"/>
    </w:r>
  </w:p>
  <w:p w:rsidR="00290DB6" w:rsidRDefault="00290DB6" w:rsidP="00160BF1">
    <w:pPr>
      <w:pStyle w:val="a6"/>
      <w:ind w:firstLine="360"/>
      <w:rPr>
        <w:rtl/>
      </w:rPr>
    </w:pPr>
    <w:r>
      <w:rPr>
        <w:rtl/>
      </w:rPr>
      <w:tab/>
      <w:t>ארנון עצמון</w:t>
    </w:r>
    <w:r>
      <w:rPr>
        <w:rtl/>
      </w:rPr>
      <w:tab/>
      <w:t xml:space="preserve">     </w:t>
    </w:r>
    <w:r>
      <w:rPr>
        <w:rtl/>
      </w:rPr>
      <w:fldChar w:fldCharType="begin"/>
    </w:r>
    <w:r>
      <w:rPr>
        <w:rtl/>
      </w:rPr>
      <w:instrText xml:space="preserve"> </w:instrText>
    </w:r>
    <w:r>
      <w:instrText>DATE  \@ "MMMM yy"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A4097">
      <w:rPr>
        <w:noProof/>
        <w:rtl/>
      </w:rPr>
      <w:t>‏אפריל 15</w:t>
    </w:r>
    <w:r>
      <w:rPr>
        <w:rtl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FF"/>
    <w:multiLevelType w:val="singleLevel"/>
    <w:tmpl w:val="0EFAE8F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104D7F37"/>
    <w:multiLevelType w:val="hybridMultilevel"/>
    <w:tmpl w:val="C7A80D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D2682"/>
    <w:multiLevelType w:val="multilevel"/>
    <w:tmpl w:val="942A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 w:val="0"/>
        <w:iCs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4388"/>
    <w:multiLevelType w:val="hybridMultilevel"/>
    <w:tmpl w:val="243C77AE"/>
    <w:lvl w:ilvl="0" w:tplc="A8DC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D3DC1"/>
    <w:multiLevelType w:val="hybridMultilevel"/>
    <w:tmpl w:val="17E86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7371F"/>
    <w:multiLevelType w:val="singleLevel"/>
    <w:tmpl w:val="B3F8BF74"/>
    <w:lvl w:ilvl="0">
      <w:start w:val="1"/>
      <w:numFmt w:val="decimal"/>
      <w:lvlText w:val="%1."/>
      <w:lvlJc w:val="center"/>
      <w:pPr>
        <w:tabs>
          <w:tab w:val="num" w:pos="454"/>
        </w:tabs>
        <w:ind w:hanging="454"/>
      </w:pPr>
      <w:rPr>
        <w:rFonts w:cs="Times New Roman"/>
      </w:rPr>
    </w:lvl>
  </w:abstractNum>
  <w:abstractNum w:abstractNumId="6">
    <w:nsid w:val="27CE506E"/>
    <w:multiLevelType w:val="multilevel"/>
    <w:tmpl w:val="3AF8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B6BD9"/>
    <w:multiLevelType w:val="hybridMultilevel"/>
    <w:tmpl w:val="999218F6"/>
    <w:lvl w:ilvl="0" w:tplc="54469334">
      <w:start w:val="1"/>
      <w:numFmt w:val="decimal"/>
      <w:lvlText w:val="%1."/>
      <w:lvlJc w:val="left"/>
      <w:pPr>
        <w:tabs>
          <w:tab w:val="num" w:pos="7230"/>
        </w:tabs>
        <w:ind w:left="7230" w:hanging="6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369B2"/>
    <w:multiLevelType w:val="singleLevel"/>
    <w:tmpl w:val="63ECDD9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9">
    <w:nsid w:val="2DC04CA1"/>
    <w:multiLevelType w:val="singleLevel"/>
    <w:tmpl w:val="0EFAE8F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0">
    <w:nsid w:val="312A5C20"/>
    <w:multiLevelType w:val="hybridMultilevel"/>
    <w:tmpl w:val="82D0E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25D49"/>
    <w:multiLevelType w:val="hybridMultilevel"/>
    <w:tmpl w:val="A29E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D680D"/>
    <w:multiLevelType w:val="hybridMultilevel"/>
    <w:tmpl w:val="1B088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85A3B"/>
    <w:multiLevelType w:val="multilevel"/>
    <w:tmpl w:val="B21C646A"/>
    <w:lvl w:ilvl="0">
      <w:start w:val="1"/>
      <w:numFmt w:val="decimal"/>
      <w:lvlText w:val="%1."/>
      <w:lvlJc w:val="left"/>
      <w:pPr>
        <w:tabs>
          <w:tab w:val="num" w:pos="8535"/>
        </w:tabs>
        <w:ind w:left="8535" w:hanging="8175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A7F23"/>
    <w:multiLevelType w:val="hybridMultilevel"/>
    <w:tmpl w:val="DA4C374E"/>
    <w:lvl w:ilvl="0" w:tplc="3B967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30F75"/>
    <w:multiLevelType w:val="hybridMultilevel"/>
    <w:tmpl w:val="57C21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E33FD"/>
    <w:multiLevelType w:val="singleLevel"/>
    <w:tmpl w:val="0EFAE8F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7">
    <w:nsid w:val="5E65051D"/>
    <w:multiLevelType w:val="hybridMultilevel"/>
    <w:tmpl w:val="D366A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B222CB"/>
    <w:multiLevelType w:val="hybridMultilevel"/>
    <w:tmpl w:val="13920E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Cs w:val="20"/>
      </w:rPr>
    </w:lvl>
  </w:abstractNum>
  <w:abstractNum w:abstractNumId="19">
    <w:nsid w:val="6BEF0087"/>
    <w:multiLevelType w:val="hybridMultilevel"/>
    <w:tmpl w:val="942A7E24"/>
    <w:lvl w:ilvl="0" w:tplc="5184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 w:tplc="A25AC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 w:val="0"/>
        <w:iCs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57FFC"/>
    <w:multiLevelType w:val="multilevel"/>
    <w:tmpl w:val="C7A80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21350"/>
    <w:multiLevelType w:val="hybridMultilevel"/>
    <w:tmpl w:val="1D968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C31AE4"/>
    <w:multiLevelType w:val="singleLevel"/>
    <w:tmpl w:val="B3F8BF74"/>
    <w:lvl w:ilvl="0">
      <w:start w:val="1"/>
      <w:numFmt w:val="decimal"/>
      <w:lvlText w:val="%1."/>
      <w:lvlJc w:val="center"/>
      <w:pPr>
        <w:tabs>
          <w:tab w:val="num" w:pos="454"/>
        </w:tabs>
        <w:ind w:hanging="454"/>
      </w:pPr>
      <w:rPr>
        <w:rFonts w:cs="Times New Roman"/>
      </w:rPr>
    </w:lvl>
  </w:abstractNum>
  <w:abstractNum w:abstractNumId="23">
    <w:nsid w:val="78441183"/>
    <w:multiLevelType w:val="hybridMultilevel"/>
    <w:tmpl w:val="113E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281D"/>
    <w:multiLevelType w:val="hybridMultilevel"/>
    <w:tmpl w:val="43708EF6"/>
    <w:lvl w:ilvl="0" w:tplc="5184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7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21"/>
  </w:num>
  <w:num w:numId="10">
    <w:abstractNumId w:val="3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5"/>
  </w:num>
  <w:num w:numId="16">
    <w:abstractNumId w:val="1"/>
  </w:num>
  <w:num w:numId="17">
    <w:abstractNumId w:val="13"/>
  </w:num>
  <w:num w:numId="18">
    <w:abstractNumId w:val="20"/>
  </w:num>
  <w:num w:numId="19">
    <w:abstractNumId w:val="14"/>
  </w:num>
  <w:num w:numId="20">
    <w:abstractNumId w:val="6"/>
  </w:num>
  <w:num w:numId="21">
    <w:abstractNumId w:val="2"/>
  </w:num>
  <w:num w:numId="22">
    <w:abstractNumId w:val="24"/>
  </w:num>
  <w:num w:numId="23">
    <w:abstractNumId w:val="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B"/>
    <w:rsid w:val="00001397"/>
    <w:rsid w:val="0000621B"/>
    <w:rsid w:val="000159B1"/>
    <w:rsid w:val="000344D7"/>
    <w:rsid w:val="00043B38"/>
    <w:rsid w:val="00046C9B"/>
    <w:rsid w:val="00057564"/>
    <w:rsid w:val="000579ED"/>
    <w:rsid w:val="0006098E"/>
    <w:rsid w:val="00062716"/>
    <w:rsid w:val="00063963"/>
    <w:rsid w:val="00071F26"/>
    <w:rsid w:val="00075DF8"/>
    <w:rsid w:val="000808B0"/>
    <w:rsid w:val="0008778A"/>
    <w:rsid w:val="0009406F"/>
    <w:rsid w:val="00096716"/>
    <w:rsid w:val="00097B4C"/>
    <w:rsid w:val="000A581A"/>
    <w:rsid w:val="000B2362"/>
    <w:rsid w:val="000B5CDA"/>
    <w:rsid w:val="000C4023"/>
    <w:rsid w:val="000C40F5"/>
    <w:rsid w:val="000C624F"/>
    <w:rsid w:val="000E4E48"/>
    <w:rsid w:val="000F6347"/>
    <w:rsid w:val="00110516"/>
    <w:rsid w:val="00112092"/>
    <w:rsid w:val="00113021"/>
    <w:rsid w:val="001148C2"/>
    <w:rsid w:val="0012258E"/>
    <w:rsid w:val="00126EDE"/>
    <w:rsid w:val="00137B18"/>
    <w:rsid w:val="00141B0A"/>
    <w:rsid w:val="001536A1"/>
    <w:rsid w:val="00155ECE"/>
    <w:rsid w:val="00160BF1"/>
    <w:rsid w:val="0016328C"/>
    <w:rsid w:val="00172B19"/>
    <w:rsid w:val="00194DD8"/>
    <w:rsid w:val="001A09E6"/>
    <w:rsid w:val="001D3029"/>
    <w:rsid w:val="001D671D"/>
    <w:rsid w:val="001E18EF"/>
    <w:rsid w:val="001E7C51"/>
    <w:rsid w:val="001F6510"/>
    <w:rsid w:val="002002C9"/>
    <w:rsid w:val="0020394E"/>
    <w:rsid w:val="00203FC7"/>
    <w:rsid w:val="00204D4B"/>
    <w:rsid w:val="0021573D"/>
    <w:rsid w:val="00220964"/>
    <w:rsid w:val="00221A9D"/>
    <w:rsid w:val="0022274D"/>
    <w:rsid w:val="002237B9"/>
    <w:rsid w:val="0022387A"/>
    <w:rsid w:val="00233BC5"/>
    <w:rsid w:val="00241C5B"/>
    <w:rsid w:val="00251950"/>
    <w:rsid w:val="00254DF7"/>
    <w:rsid w:val="00254DF8"/>
    <w:rsid w:val="00265667"/>
    <w:rsid w:val="00270E36"/>
    <w:rsid w:val="00275AD2"/>
    <w:rsid w:val="00277300"/>
    <w:rsid w:val="0028041F"/>
    <w:rsid w:val="00285FF1"/>
    <w:rsid w:val="00290DB6"/>
    <w:rsid w:val="00291749"/>
    <w:rsid w:val="002A46CA"/>
    <w:rsid w:val="002A5639"/>
    <w:rsid w:val="002A63A7"/>
    <w:rsid w:val="002B34AB"/>
    <w:rsid w:val="002B4709"/>
    <w:rsid w:val="002C16F6"/>
    <w:rsid w:val="002C598C"/>
    <w:rsid w:val="002C5A46"/>
    <w:rsid w:val="002C6729"/>
    <w:rsid w:val="002C732B"/>
    <w:rsid w:val="002D1935"/>
    <w:rsid w:val="002D5F05"/>
    <w:rsid w:val="002D7A48"/>
    <w:rsid w:val="002E2420"/>
    <w:rsid w:val="002F165C"/>
    <w:rsid w:val="0030062C"/>
    <w:rsid w:val="00301596"/>
    <w:rsid w:val="003240D0"/>
    <w:rsid w:val="00324175"/>
    <w:rsid w:val="00324C4B"/>
    <w:rsid w:val="0033312B"/>
    <w:rsid w:val="00334D7B"/>
    <w:rsid w:val="003371FE"/>
    <w:rsid w:val="00342E53"/>
    <w:rsid w:val="00353276"/>
    <w:rsid w:val="0036023B"/>
    <w:rsid w:val="00362A76"/>
    <w:rsid w:val="00375856"/>
    <w:rsid w:val="0037744F"/>
    <w:rsid w:val="00385876"/>
    <w:rsid w:val="0038782C"/>
    <w:rsid w:val="00394BE7"/>
    <w:rsid w:val="003A1341"/>
    <w:rsid w:val="003A42C7"/>
    <w:rsid w:val="003A5F87"/>
    <w:rsid w:val="003C36CB"/>
    <w:rsid w:val="003D192D"/>
    <w:rsid w:val="003E0306"/>
    <w:rsid w:val="003F220F"/>
    <w:rsid w:val="003F5F3C"/>
    <w:rsid w:val="00401DBE"/>
    <w:rsid w:val="00403B26"/>
    <w:rsid w:val="00406A80"/>
    <w:rsid w:val="00440AC5"/>
    <w:rsid w:val="00440DF6"/>
    <w:rsid w:val="004418B9"/>
    <w:rsid w:val="00444B8A"/>
    <w:rsid w:val="004560DB"/>
    <w:rsid w:val="00457B24"/>
    <w:rsid w:val="00457D78"/>
    <w:rsid w:val="004613EB"/>
    <w:rsid w:val="00461F1A"/>
    <w:rsid w:val="004623D8"/>
    <w:rsid w:val="004678B9"/>
    <w:rsid w:val="004764B7"/>
    <w:rsid w:val="0049152C"/>
    <w:rsid w:val="0049165A"/>
    <w:rsid w:val="00494829"/>
    <w:rsid w:val="00495A41"/>
    <w:rsid w:val="004A0993"/>
    <w:rsid w:val="004A619D"/>
    <w:rsid w:val="004D078D"/>
    <w:rsid w:val="004D16B7"/>
    <w:rsid w:val="004E12F1"/>
    <w:rsid w:val="004E450E"/>
    <w:rsid w:val="004F07DB"/>
    <w:rsid w:val="004F5083"/>
    <w:rsid w:val="00501737"/>
    <w:rsid w:val="00502108"/>
    <w:rsid w:val="00515F38"/>
    <w:rsid w:val="0052118B"/>
    <w:rsid w:val="00525C17"/>
    <w:rsid w:val="0053065E"/>
    <w:rsid w:val="00533A78"/>
    <w:rsid w:val="00542B38"/>
    <w:rsid w:val="0054619F"/>
    <w:rsid w:val="0055285E"/>
    <w:rsid w:val="00560A06"/>
    <w:rsid w:val="00571160"/>
    <w:rsid w:val="0057680C"/>
    <w:rsid w:val="005922A6"/>
    <w:rsid w:val="005936DD"/>
    <w:rsid w:val="005965E1"/>
    <w:rsid w:val="005B2876"/>
    <w:rsid w:val="005B7752"/>
    <w:rsid w:val="005D2516"/>
    <w:rsid w:val="005D443A"/>
    <w:rsid w:val="005D6D86"/>
    <w:rsid w:val="005F0C3F"/>
    <w:rsid w:val="005F2691"/>
    <w:rsid w:val="006144F7"/>
    <w:rsid w:val="0062132D"/>
    <w:rsid w:val="00634EA2"/>
    <w:rsid w:val="00636F2E"/>
    <w:rsid w:val="00644D43"/>
    <w:rsid w:val="006604AF"/>
    <w:rsid w:val="006625A9"/>
    <w:rsid w:val="00670B3B"/>
    <w:rsid w:val="0067188D"/>
    <w:rsid w:val="006740B7"/>
    <w:rsid w:val="006875B0"/>
    <w:rsid w:val="00687CD1"/>
    <w:rsid w:val="006971EF"/>
    <w:rsid w:val="006B4C34"/>
    <w:rsid w:val="006D1320"/>
    <w:rsid w:val="006D2C48"/>
    <w:rsid w:val="006E176C"/>
    <w:rsid w:val="006F50F4"/>
    <w:rsid w:val="006F5D52"/>
    <w:rsid w:val="00704E3F"/>
    <w:rsid w:val="00704EFB"/>
    <w:rsid w:val="00713A12"/>
    <w:rsid w:val="00715F9C"/>
    <w:rsid w:val="007362FA"/>
    <w:rsid w:val="007400F4"/>
    <w:rsid w:val="00742812"/>
    <w:rsid w:val="0074799F"/>
    <w:rsid w:val="00754BD7"/>
    <w:rsid w:val="00755224"/>
    <w:rsid w:val="0076559C"/>
    <w:rsid w:val="007734E6"/>
    <w:rsid w:val="00780F58"/>
    <w:rsid w:val="00785E30"/>
    <w:rsid w:val="00796D0A"/>
    <w:rsid w:val="007A7543"/>
    <w:rsid w:val="007B79D2"/>
    <w:rsid w:val="007C762D"/>
    <w:rsid w:val="007E0996"/>
    <w:rsid w:val="007F38DB"/>
    <w:rsid w:val="007F462E"/>
    <w:rsid w:val="00800D1A"/>
    <w:rsid w:val="00807317"/>
    <w:rsid w:val="008130B7"/>
    <w:rsid w:val="00813D9E"/>
    <w:rsid w:val="00832CE0"/>
    <w:rsid w:val="00836141"/>
    <w:rsid w:val="00842247"/>
    <w:rsid w:val="00843829"/>
    <w:rsid w:val="008530F0"/>
    <w:rsid w:val="00853995"/>
    <w:rsid w:val="00865FFA"/>
    <w:rsid w:val="0086753E"/>
    <w:rsid w:val="00874D32"/>
    <w:rsid w:val="00877630"/>
    <w:rsid w:val="00882F2B"/>
    <w:rsid w:val="008954C2"/>
    <w:rsid w:val="008A440A"/>
    <w:rsid w:val="008A4CEE"/>
    <w:rsid w:val="008A67B1"/>
    <w:rsid w:val="008A7D5A"/>
    <w:rsid w:val="008B06E0"/>
    <w:rsid w:val="008B14D2"/>
    <w:rsid w:val="008C5ADA"/>
    <w:rsid w:val="008E11A7"/>
    <w:rsid w:val="008E1B90"/>
    <w:rsid w:val="008E4883"/>
    <w:rsid w:val="009033AD"/>
    <w:rsid w:val="00904E8B"/>
    <w:rsid w:val="00917526"/>
    <w:rsid w:val="009235C5"/>
    <w:rsid w:val="00924733"/>
    <w:rsid w:val="0093058B"/>
    <w:rsid w:val="00932FAA"/>
    <w:rsid w:val="00963B7E"/>
    <w:rsid w:val="00967248"/>
    <w:rsid w:val="0097135C"/>
    <w:rsid w:val="00976D54"/>
    <w:rsid w:val="00984515"/>
    <w:rsid w:val="00992BC2"/>
    <w:rsid w:val="009943CF"/>
    <w:rsid w:val="009A2D6D"/>
    <w:rsid w:val="009A4097"/>
    <w:rsid w:val="009A7317"/>
    <w:rsid w:val="009B09C1"/>
    <w:rsid w:val="009B18CC"/>
    <w:rsid w:val="009B2EF1"/>
    <w:rsid w:val="009D07CA"/>
    <w:rsid w:val="009D381F"/>
    <w:rsid w:val="009D6804"/>
    <w:rsid w:val="009E00B5"/>
    <w:rsid w:val="009E66D8"/>
    <w:rsid w:val="009E6EA5"/>
    <w:rsid w:val="009F4C71"/>
    <w:rsid w:val="00A1410E"/>
    <w:rsid w:val="00A14234"/>
    <w:rsid w:val="00A214E8"/>
    <w:rsid w:val="00A25861"/>
    <w:rsid w:val="00A44B34"/>
    <w:rsid w:val="00A459BC"/>
    <w:rsid w:val="00A509B1"/>
    <w:rsid w:val="00A642F0"/>
    <w:rsid w:val="00A7240A"/>
    <w:rsid w:val="00A80593"/>
    <w:rsid w:val="00A80746"/>
    <w:rsid w:val="00A978F0"/>
    <w:rsid w:val="00AA0359"/>
    <w:rsid w:val="00AA12A4"/>
    <w:rsid w:val="00AB0066"/>
    <w:rsid w:val="00AC2B7E"/>
    <w:rsid w:val="00AC6369"/>
    <w:rsid w:val="00AD1984"/>
    <w:rsid w:val="00AD1999"/>
    <w:rsid w:val="00AD6FF2"/>
    <w:rsid w:val="00B06DBB"/>
    <w:rsid w:val="00B126C4"/>
    <w:rsid w:val="00B13FD9"/>
    <w:rsid w:val="00B177BE"/>
    <w:rsid w:val="00B32BCA"/>
    <w:rsid w:val="00B40465"/>
    <w:rsid w:val="00B421A5"/>
    <w:rsid w:val="00B4566C"/>
    <w:rsid w:val="00B46A7A"/>
    <w:rsid w:val="00B476DE"/>
    <w:rsid w:val="00B515E1"/>
    <w:rsid w:val="00B51C0B"/>
    <w:rsid w:val="00B57CB0"/>
    <w:rsid w:val="00B82237"/>
    <w:rsid w:val="00BA5C0A"/>
    <w:rsid w:val="00BA67DB"/>
    <w:rsid w:val="00BB069F"/>
    <w:rsid w:val="00BB6E53"/>
    <w:rsid w:val="00BD30A3"/>
    <w:rsid w:val="00BE6C5F"/>
    <w:rsid w:val="00C01A22"/>
    <w:rsid w:val="00C038F0"/>
    <w:rsid w:val="00C1177D"/>
    <w:rsid w:val="00C23525"/>
    <w:rsid w:val="00C23595"/>
    <w:rsid w:val="00C30ADE"/>
    <w:rsid w:val="00C33734"/>
    <w:rsid w:val="00C51910"/>
    <w:rsid w:val="00C528FF"/>
    <w:rsid w:val="00C56F84"/>
    <w:rsid w:val="00C6180B"/>
    <w:rsid w:val="00C623C3"/>
    <w:rsid w:val="00C65BA5"/>
    <w:rsid w:val="00C6620F"/>
    <w:rsid w:val="00C7180C"/>
    <w:rsid w:val="00C73070"/>
    <w:rsid w:val="00C7318C"/>
    <w:rsid w:val="00C83937"/>
    <w:rsid w:val="00C84FF3"/>
    <w:rsid w:val="00C9526B"/>
    <w:rsid w:val="00CA466B"/>
    <w:rsid w:val="00CA4FF6"/>
    <w:rsid w:val="00CB7579"/>
    <w:rsid w:val="00CC400A"/>
    <w:rsid w:val="00CD75AE"/>
    <w:rsid w:val="00CE30AC"/>
    <w:rsid w:val="00CE4C86"/>
    <w:rsid w:val="00CE53E1"/>
    <w:rsid w:val="00CE5DBF"/>
    <w:rsid w:val="00CF6A45"/>
    <w:rsid w:val="00D1253B"/>
    <w:rsid w:val="00D22E33"/>
    <w:rsid w:val="00D25AFF"/>
    <w:rsid w:val="00D31B7D"/>
    <w:rsid w:val="00D41D23"/>
    <w:rsid w:val="00D57B5C"/>
    <w:rsid w:val="00D60253"/>
    <w:rsid w:val="00D612BC"/>
    <w:rsid w:val="00D62081"/>
    <w:rsid w:val="00D75358"/>
    <w:rsid w:val="00D91FF7"/>
    <w:rsid w:val="00D9269B"/>
    <w:rsid w:val="00D935B0"/>
    <w:rsid w:val="00DA2998"/>
    <w:rsid w:val="00DB6F68"/>
    <w:rsid w:val="00DC5126"/>
    <w:rsid w:val="00DD7826"/>
    <w:rsid w:val="00DD7CE0"/>
    <w:rsid w:val="00DF5205"/>
    <w:rsid w:val="00DF7288"/>
    <w:rsid w:val="00E01F35"/>
    <w:rsid w:val="00E24E13"/>
    <w:rsid w:val="00E278FC"/>
    <w:rsid w:val="00E455C9"/>
    <w:rsid w:val="00E46A37"/>
    <w:rsid w:val="00E615CC"/>
    <w:rsid w:val="00E74776"/>
    <w:rsid w:val="00E753EE"/>
    <w:rsid w:val="00E76552"/>
    <w:rsid w:val="00E825F9"/>
    <w:rsid w:val="00E83251"/>
    <w:rsid w:val="00E93CBD"/>
    <w:rsid w:val="00E9559C"/>
    <w:rsid w:val="00EA0799"/>
    <w:rsid w:val="00EA196C"/>
    <w:rsid w:val="00EA6C2F"/>
    <w:rsid w:val="00EC442D"/>
    <w:rsid w:val="00EC445E"/>
    <w:rsid w:val="00EC4589"/>
    <w:rsid w:val="00EC4B18"/>
    <w:rsid w:val="00EC55E3"/>
    <w:rsid w:val="00ED24E2"/>
    <w:rsid w:val="00ED69EF"/>
    <w:rsid w:val="00EE096B"/>
    <w:rsid w:val="00F0239F"/>
    <w:rsid w:val="00F02ECE"/>
    <w:rsid w:val="00F06E47"/>
    <w:rsid w:val="00F10980"/>
    <w:rsid w:val="00F1204A"/>
    <w:rsid w:val="00F174B9"/>
    <w:rsid w:val="00F27590"/>
    <w:rsid w:val="00F349A3"/>
    <w:rsid w:val="00F35D3F"/>
    <w:rsid w:val="00F36701"/>
    <w:rsid w:val="00F57B55"/>
    <w:rsid w:val="00F62087"/>
    <w:rsid w:val="00F67BC5"/>
    <w:rsid w:val="00F900E5"/>
    <w:rsid w:val="00F927E9"/>
    <w:rsid w:val="00FC0682"/>
    <w:rsid w:val="00FC285F"/>
    <w:rsid w:val="00FC3FA8"/>
    <w:rsid w:val="00FD01C6"/>
    <w:rsid w:val="00FD2950"/>
    <w:rsid w:val="00FE670C"/>
    <w:rsid w:val="00FE6B8B"/>
    <w:rsid w:val="00FE6E4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E"/>
    <w:pPr>
      <w:bidi/>
      <w:spacing w:line="360" w:lineRule="auto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qFormat/>
    <w:pPr>
      <w:keepNext/>
      <w:widowControl w:val="0"/>
      <w:bidi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bidi w:val="0"/>
      <w:jc w:val="left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widowControl w:val="0"/>
      <w:bidi w:val="0"/>
      <w:jc w:val="left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bidi w:val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bidi w:val="0"/>
      <w:jc w:val="left"/>
    </w:pPr>
    <w:rPr>
      <w:sz w:val="22"/>
      <w:szCs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4">
    <w:name w:val="Strong"/>
    <w:qFormat/>
    <w:rPr>
      <w:rFonts w:cs="Times New Roman"/>
      <w:b/>
      <w:bCs/>
    </w:rPr>
  </w:style>
  <w:style w:type="character" w:styleId="a5">
    <w:name w:val="Emphasis"/>
    <w:qFormat/>
    <w:rPr>
      <w:rFonts w:cs="Times New Roman"/>
      <w:i/>
      <w:iCs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cs="Times New Roman"/>
    </w:rPr>
  </w:style>
  <w:style w:type="paragraph" w:styleId="a9">
    <w:name w:val="Balloon Text"/>
    <w:basedOn w:val="a"/>
    <w:semiHidden/>
    <w:rsid w:val="00796D0A"/>
    <w:rPr>
      <w:rFonts w:ascii="Tahoma" w:hAnsi="Tahoma" w:cs="Tahoma"/>
      <w:sz w:val="16"/>
      <w:szCs w:val="16"/>
    </w:rPr>
  </w:style>
  <w:style w:type="paragraph" w:customStyle="1" w:styleId="aa">
    <w:name w:val="סגנון ימין"/>
    <w:basedOn w:val="a"/>
    <w:rsid w:val="00A1410E"/>
    <w:pPr>
      <w:jc w:val="left"/>
    </w:pPr>
    <w:rPr>
      <w:szCs w:val="28"/>
    </w:rPr>
  </w:style>
  <w:style w:type="paragraph" w:customStyle="1" w:styleId="14">
    <w:name w:val="סגנון ‏14 נק ימין"/>
    <w:basedOn w:val="a"/>
    <w:rsid w:val="003E0306"/>
    <w:pPr>
      <w:jc w:val="left"/>
    </w:pPr>
    <w:rPr>
      <w:sz w:val="28"/>
    </w:rPr>
  </w:style>
  <w:style w:type="character" w:styleId="FollowedHyperlink">
    <w:name w:val="FollowedHyperlink"/>
    <w:rsid w:val="005F2691"/>
    <w:rPr>
      <w:color w:val="800080"/>
      <w:u w:val="single"/>
    </w:rPr>
  </w:style>
  <w:style w:type="paragraph" w:customStyle="1" w:styleId="10">
    <w:name w:val="סגנון כותרת 1 + מרווח בין שורות:  בודד"/>
    <w:basedOn w:val="1"/>
    <w:rsid w:val="002237B9"/>
    <w:pPr>
      <w:widowControl/>
      <w:tabs>
        <w:tab w:val="left" w:pos="408"/>
      </w:tabs>
      <w:autoSpaceDE w:val="0"/>
      <w:autoSpaceDN w:val="0"/>
      <w:bidi/>
      <w:adjustRightInd w:val="0"/>
      <w:spacing w:before="240" w:after="60" w:line="240" w:lineRule="auto"/>
      <w:ind w:firstLine="284"/>
    </w:pPr>
    <w:rPr>
      <w:rFonts w:ascii="Arial" w:hAnsi="Arial"/>
      <w:bCs w:val="0"/>
      <w:color w:val="000000"/>
      <w:kern w:val="32"/>
      <w:sz w:val="32"/>
    </w:rPr>
  </w:style>
  <w:style w:type="paragraph" w:styleId="ab">
    <w:name w:val="List Paragraph"/>
    <w:basedOn w:val="a"/>
    <w:uiPriority w:val="34"/>
    <w:qFormat/>
    <w:rsid w:val="00704E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E"/>
    <w:pPr>
      <w:bidi/>
      <w:spacing w:line="360" w:lineRule="auto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qFormat/>
    <w:pPr>
      <w:keepNext/>
      <w:widowControl w:val="0"/>
      <w:bidi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bidi w:val="0"/>
      <w:jc w:val="left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widowControl w:val="0"/>
      <w:bidi w:val="0"/>
      <w:jc w:val="left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bidi w:val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bidi w:val="0"/>
      <w:jc w:val="left"/>
    </w:pPr>
    <w:rPr>
      <w:sz w:val="22"/>
      <w:szCs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4">
    <w:name w:val="Strong"/>
    <w:qFormat/>
    <w:rPr>
      <w:rFonts w:cs="Times New Roman"/>
      <w:b/>
      <w:bCs/>
    </w:rPr>
  </w:style>
  <w:style w:type="character" w:styleId="a5">
    <w:name w:val="Emphasis"/>
    <w:qFormat/>
    <w:rPr>
      <w:rFonts w:cs="Times New Roman"/>
      <w:i/>
      <w:iCs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cs="Times New Roman"/>
    </w:rPr>
  </w:style>
  <w:style w:type="paragraph" w:styleId="a9">
    <w:name w:val="Balloon Text"/>
    <w:basedOn w:val="a"/>
    <w:semiHidden/>
    <w:rsid w:val="00796D0A"/>
    <w:rPr>
      <w:rFonts w:ascii="Tahoma" w:hAnsi="Tahoma" w:cs="Tahoma"/>
      <w:sz w:val="16"/>
      <w:szCs w:val="16"/>
    </w:rPr>
  </w:style>
  <w:style w:type="paragraph" w:customStyle="1" w:styleId="aa">
    <w:name w:val="סגנון ימין"/>
    <w:basedOn w:val="a"/>
    <w:rsid w:val="00A1410E"/>
    <w:pPr>
      <w:jc w:val="left"/>
    </w:pPr>
    <w:rPr>
      <w:szCs w:val="28"/>
    </w:rPr>
  </w:style>
  <w:style w:type="paragraph" w:customStyle="1" w:styleId="14">
    <w:name w:val="סגנון ‏14 נק ימין"/>
    <w:basedOn w:val="a"/>
    <w:rsid w:val="003E0306"/>
    <w:pPr>
      <w:jc w:val="left"/>
    </w:pPr>
    <w:rPr>
      <w:sz w:val="28"/>
    </w:rPr>
  </w:style>
  <w:style w:type="character" w:styleId="FollowedHyperlink">
    <w:name w:val="FollowedHyperlink"/>
    <w:rsid w:val="005F2691"/>
    <w:rPr>
      <w:color w:val="800080"/>
      <w:u w:val="single"/>
    </w:rPr>
  </w:style>
  <w:style w:type="paragraph" w:customStyle="1" w:styleId="10">
    <w:name w:val="סגנון כותרת 1 + מרווח בין שורות:  בודד"/>
    <w:basedOn w:val="1"/>
    <w:rsid w:val="002237B9"/>
    <w:pPr>
      <w:widowControl/>
      <w:tabs>
        <w:tab w:val="left" w:pos="408"/>
      </w:tabs>
      <w:autoSpaceDE w:val="0"/>
      <w:autoSpaceDN w:val="0"/>
      <w:bidi/>
      <w:adjustRightInd w:val="0"/>
      <w:spacing w:before="240" w:after="60" w:line="240" w:lineRule="auto"/>
      <w:ind w:firstLine="284"/>
    </w:pPr>
    <w:rPr>
      <w:rFonts w:ascii="Arial" w:hAnsi="Arial"/>
      <w:bCs w:val="0"/>
      <w:color w:val="000000"/>
      <w:kern w:val="32"/>
      <w:sz w:val="32"/>
    </w:rPr>
  </w:style>
  <w:style w:type="paragraph" w:styleId="ab">
    <w:name w:val="List Paragraph"/>
    <w:basedOn w:val="a"/>
    <w:uiPriority w:val="34"/>
    <w:qFormat/>
    <w:rsid w:val="00704E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.ac.il/JS/JSIJ/6-2007/Atzm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u.ac.il/JS/JSIJ/9-2010/Atzmon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בר אילן</Company>
  <LinksUpToDate>false</LinksUpToDate>
  <CharactersWithSpaces>2364</CharactersWithSpaces>
  <SharedDoc>false</SharedDoc>
  <HLinks>
    <vt:vector size="18" baseType="variant">
      <vt:variant>
        <vt:i4>3604606</vt:i4>
      </vt:variant>
      <vt:variant>
        <vt:i4>6</vt:i4>
      </vt:variant>
      <vt:variant>
        <vt:i4>0</vt:i4>
      </vt:variant>
      <vt:variant>
        <vt:i4>5</vt:i4>
      </vt:variant>
      <vt:variant>
        <vt:lpwstr>http://www.biu.ac.il/JS/JSIJ/9-2010/Atzmon.pdf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http://www.biu.ac.il/JS/JSIJ/6-2007/Atzmon.pdf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mailto:atzmon@biu.ac.il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Avishalom Westreich</dc:creator>
  <cp:lastModifiedBy>User</cp:lastModifiedBy>
  <cp:revision>3</cp:revision>
  <cp:lastPrinted>2014-01-09T06:07:00Z</cp:lastPrinted>
  <dcterms:created xsi:type="dcterms:W3CDTF">2015-04-19T15:02:00Z</dcterms:created>
  <dcterms:modified xsi:type="dcterms:W3CDTF">2015-04-19T15:04:00Z</dcterms:modified>
</cp:coreProperties>
</file>