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98" w:rsidRPr="00C1735B" w:rsidRDefault="00D72798" w:rsidP="002F7D93">
      <w:pPr>
        <w:pStyle w:val="a3"/>
        <w:spacing w:line="400" w:lineRule="exact"/>
        <w:rPr>
          <w:b w:val="0"/>
          <w:bCs w:val="0"/>
          <w:sz w:val="22"/>
          <w:szCs w:val="24"/>
        </w:rPr>
      </w:pPr>
      <w:r>
        <w:rPr>
          <w:sz w:val="22"/>
          <w:rtl/>
        </w:rPr>
        <w:t xml:space="preserve">                                                        </w:t>
      </w:r>
      <w:r>
        <w:rPr>
          <w:rFonts w:hint="cs"/>
          <w:sz w:val="22"/>
          <w:rtl/>
        </w:rPr>
        <w:t xml:space="preserve">  </w:t>
      </w:r>
      <w:r>
        <w:rPr>
          <w:rFonts w:hint="cs"/>
          <w:b w:val="0"/>
          <w:bCs w:val="0"/>
          <w:sz w:val="22"/>
          <w:szCs w:val="24"/>
          <w:rtl/>
        </w:rPr>
        <w:t xml:space="preserve"> </w:t>
      </w:r>
      <w:r w:rsidR="002F7D93">
        <w:rPr>
          <w:rFonts w:hint="cs"/>
          <w:b w:val="0"/>
          <w:bCs w:val="0"/>
          <w:sz w:val="22"/>
          <w:szCs w:val="24"/>
          <w:rtl/>
          <w:lang w:val="el-GR"/>
        </w:rPr>
        <w:t>ניסן</w:t>
      </w:r>
      <w:r w:rsidR="008625A4">
        <w:rPr>
          <w:rFonts w:hint="cs"/>
          <w:b w:val="0"/>
          <w:bCs w:val="0"/>
          <w:sz w:val="22"/>
          <w:szCs w:val="24"/>
          <w:rtl/>
          <w:lang w:val="el-GR"/>
        </w:rPr>
        <w:t xml:space="preserve"> תשע"</w:t>
      </w:r>
      <w:r w:rsidR="00DD0863">
        <w:rPr>
          <w:rFonts w:hint="cs"/>
          <w:b w:val="0"/>
          <w:bCs w:val="0"/>
          <w:sz w:val="22"/>
          <w:szCs w:val="24"/>
          <w:rtl/>
          <w:lang w:val="el-GR"/>
        </w:rPr>
        <w:t>ה</w:t>
      </w:r>
    </w:p>
    <w:p w:rsidR="006977F3" w:rsidRDefault="006977F3" w:rsidP="00317072">
      <w:pPr>
        <w:pStyle w:val="a3"/>
        <w:spacing w:line="400" w:lineRule="exact"/>
        <w:jc w:val="left"/>
        <w:rPr>
          <w:rtl/>
          <w:lang w:val="el-GR"/>
        </w:rPr>
      </w:pPr>
    </w:p>
    <w:p w:rsidR="00D72798" w:rsidRDefault="00D72798" w:rsidP="00AC0926">
      <w:pPr>
        <w:pStyle w:val="a3"/>
        <w:spacing w:line="400" w:lineRule="exact"/>
        <w:jc w:val="left"/>
        <w:rPr>
          <w:rFonts w:hint="cs"/>
          <w:sz w:val="22"/>
          <w:rtl/>
        </w:rPr>
      </w:pPr>
      <w:r>
        <w:rPr>
          <w:rtl/>
        </w:rPr>
        <w:t>ד"ר אהרן עמית</w:t>
      </w:r>
      <w:r>
        <w:rPr>
          <w:rtl/>
        </w:rPr>
        <w:cr/>
      </w:r>
      <w:r w:rsidR="00B56582">
        <w:rPr>
          <w:rFonts w:hint="cs"/>
          <w:b w:val="0"/>
          <w:bCs w:val="0"/>
          <w:sz w:val="22"/>
          <w:rtl/>
          <w:lang w:val="el-GR"/>
        </w:rPr>
        <w:t xml:space="preserve">מייל: </w:t>
      </w:r>
      <w:r w:rsidR="00B56582" w:rsidRPr="00B56582">
        <w:rPr>
          <w:b w:val="0"/>
          <w:bCs w:val="0"/>
          <w:sz w:val="26"/>
          <w:szCs w:val="26"/>
        </w:rPr>
        <w:t>aaron.amit@biu.ac.il</w:t>
      </w:r>
      <w:r>
        <w:rPr>
          <w:b w:val="0"/>
          <w:bCs w:val="0"/>
          <w:sz w:val="22"/>
          <w:rtl/>
        </w:rPr>
        <w:cr/>
      </w:r>
      <w:bookmarkStart w:id="0" w:name="_GoBack"/>
      <w:bookmarkEnd w:id="0"/>
    </w:p>
    <w:p w:rsidR="004C03D9" w:rsidRDefault="00D72798" w:rsidP="00317072">
      <w:pPr>
        <w:bidi/>
        <w:spacing w:line="400" w:lineRule="exact"/>
        <w:jc w:val="both"/>
        <w:rPr>
          <w:rFonts w:cs="David"/>
          <w:b/>
          <w:bCs/>
          <w:sz w:val="22"/>
          <w:szCs w:val="28"/>
        </w:rPr>
      </w:pPr>
      <w:r>
        <w:rPr>
          <w:rFonts w:cs="David" w:hint="cs"/>
          <w:b/>
          <w:bCs/>
          <w:sz w:val="22"/>
          <w:szCs w:val="28"/>
          <w:rtl/>
        </w:rPr>
        <w:t>פרסומים:</w:t>
      </w:r>
    </w:p>
    <w:p w:rsidR="00B54EC4" w:rsidRDefault="00B54EC4" w:rsidP="00EC60F9">
      <w:pPr>
        <w:bidi/>
        <w:spacing w:line="400" w:lineRule="exact"/>
        <w:jc w:val="both"/>
        <w:rPr>
          <w:rFonts w:cs="David"/>
          <w:b/>
          <w:bCs/>
          <w:sz w:val="22"/>
          <w:szCs w:val="28"/>
          <w:rtl/>
        </w:rPr>
      </w:pPr>
    </w:p>
    <w:p w:rsidR="004C03D9" w:rsidRDefault="004C03D9" w:rsidP="00B54EC4">
      <w:pPr>
        <w:bidi/>
        <w:spacing w:line="400" w:lineRule="exact"/>
        <w:jc w:val="both"/>
        <w:rPr>
          <w:rFonts w:cs="David" w:hint="cs"/>
          <w:b/>
          <w:bCs/>
          <w:sz w:val="22"/>
          <w:szCs w:val="28"/>
          <w:rtl/>
        </w:rPr>
      </w:pPr>
      <w:r>
        <w:rPr>
          <w:rFonts w:cs="David" w:hint="cs"/>
          <w:b/>
          <w:bCs/>
          <w:sz w:val="22"/>
          <w:szCs w:val="28"/>
          <w:rtl/>
        </w:rPr>
        <w:t>ספרים:</w:t>
      </w:r>
    </w:p>
    <w:p w:rsidR="004C03D9" w:rsidRDefault="004C03D9" w:rsidP="00317072">
      <w:pPr>
        <w:bidi/>
        <w:spacing w:line="400" w:lineRule="exact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תלמוד האיגוד: 'מקום שנהגו' פרק רביעי ממסכת פסחים, האיגוד לפרשנות התלמוד, ירושלים</w:t>
      </w:r>
      <w:r w:rsidR="00D814E4">
        <w:rPr>
          <w:rFonts w:cs="David" w:hint="cs"/>
          <w:sz w:val="28"/>
          <w:szCs w:val="28"/>
          <w:rtl/>
        </w:rPr>
        <w:t>, תשס"ט</w:t>
      </w:r>
      <w:r>
        <w:rPr>
          <w:rFonts w:cs="David" w:hint="cs"/>
          <w:sz w:val="28"/>
          <w:szCs w:val="28"/>
          <w:rtl/>
        </w:rPr>
        <w:t>.</w:t>
      </w:r>
    </w:p>
    <w:p w:rsidR="00181C77" w:rsidRDefault="00181C77" w:rsidP="00317072">
      <w:pPr>
        <w:bidi/>
        <w:spacing w:line="400" w:lineRule="exact"/>
        <w:rPr>
          <w:rFonts w:cs="David" w:hint="cs"/>
          <w:sz w:val="28"/>
          <w:szCs w:val="28"/>
          <w:rtl/>
        </w:rPr>
      </w:pPr>
    </w:p>
    <w:p w:rsidR="00181C77" w:rsidRDefault="00181C77" w:rsidP="00317072">
      <w:pPr>
        <w:bidi/>
        <w:spacing w:line="400" w:lineRule="exact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מלאכת מחשבת:</w:t>
      </w:r>
      <w:r w:rsidR="00A85788">
        <w:rPr>
          <w:rFonts w:cs="David" w:hint="cs"/>
          <w:sz w:val="28"/>
          <w:szCs w:val="28"/>
          <w:rtl/>
        </w:rPr>
        <w:t xml:space="preserve"> קובץ מאמרים בנושאי עריכה והתפתחות של הספרות התלמודית, רמת-גן, תשע"א (עריכה יחד עם אהרן שמש).</w:t>
      </w:r>
    </w:p>
    <w:p w:rsidR="00FE2DD4" w:rsidRDefault="00FE2DD4" w:rsidP="00317072">
      <w:pPr>
        <w:bidi/>
        <w:spacing w:line="400" w:lineRule="exact"/>
        <w:jc w:val="both"/>
        <w:rPr>
          <w:rFonts w:cs="David"/>
          <w:b/>
          <w:bCs/>
          <w:sz w:val="22"/>
          <w:szCs w:val="28"/>
          <w:rtl/>
        </w:rPr>
      </w:pPr>
    </w:p>
    <w:p w:rsidR="00FE2DD4" w:rsidRDefault="00FE2DD4" w:rsidP="00FE2DD4">
      <w:pPr>
        <w:bidi/>
        <w:spacing w:line="400" w:lineRule="exact"/>
        <w:jc w:val="both"/>
        <w:rPr>
          <w:rFonts w:cs="David"/>
          <w:b/>
          <w:bCs/>
          <w:sz w:val="22"/>
          <w:szCs w:val="28"/>
          <w:rtl/>
        </w:rPr>
      </w:pPr>
    </w:p>
    <w:p w:rsidR="00D72798" w:rsidRDefault="004C03D9" w:rsidP="00FE2DD4">
      <w:pPr>
        <w:bidi/>
        <w:spacing w:line="400" w:lineRule="exact"/>
        <w:jc w:val="both"/>
        <w:rPr>
          <w:rFonts w:cs="David" w:hint="cs"/>
          <w:b/>
          <w:bCs/>
          <w:sz w:val="22"/>
          <w:szCs w:val="28"/>
          <w:rtl/>
        </w:rPr>
      </w:pPr>
      <w:r>
        <w:rPr>
          <w:rFonts w:cs="David" w:hint="cs"/>
          <w:b/>
          <w:bCs/>
          <w:sz w:val="22"/>
          <w:szCs w:val="28"/>
          <w:rtl/>
        </w:rPr>
        <w:t>מאמרים:</w:t>
      </w:r>
      <w:r w:rsidR="00D72798">
        <w:rPr>
          <w:rFonts w:cs="David" w:hint="cs"/>
          <w:b/>
          <w:bCs/>
          <w:sz w:val="22"/>
          <w:szCs w:val="28"/>
          <w:rtl/>
        </w:rPr>
        <w:tab/>
      </w:r>
    </w:p>
    <w:p w:rsidR="00D72798" w:rsidRDefault="00D72798" w:rsidP="00317072">
      <w:pPr>
        <w:bidi/>
        <w:spacing w:line="400" w:lineRule="exact"/>
        <w:jc w:val="both"/>
        <w:rPr>
          <w:rFonts w:cs="David" w:hint="cs"/>
          <w:b/>
          <w:bCs/>
          <w:sz w:val="22"/>
          <w:szCs w:val="28"/>
          <w:rtl/>
        </w:rPr>
      </w:pPr>
    </w:p>
    <w:p w:rsidR="00D72798" w:rsidRDefault="00D72798" w:rsidP="00317072">
      <w:pPr>
        <w:bidi/>
        <w:spacing w:line="400" w:lineRule="exact"/>
        <w:rPr>
          <w:rFonts w:ascii="David" w:hAnsi="David" w:cs="David" w:hint="cs"/>
          <w:sz w:val="28"/>
          <w:szCs w:val="28"/>
          <w:rtl/>
          <w:lang w:eastAsia="en-US"/>
        </w:rPr>
      </w:pPr>
      <w:r>
        <w:rPr>
          <w:rFonts w:ascii="David" w:hAnsi="David" w:cs="David" w:hint="cs"/>
          <w:sz w:val="28"/>
          <w:szCs w:val="28"/>
          <w:rtl/>
          <w:lang w:eastAsia="en-US"/>
        </w:rPr>
        <w:t>"</w:t>
      </w:r>
      <w:r>
        <w:rPr>
          <w:rFonts w:ascii="David" w:hAnsi="David" w:cs="David"/>
          <w:sz w:val="28"/>
          <w:szCs w:val="28"/>
          <w:rtl/>
          <w:lang w:eastAsia="en-US"/>
        </w:rPr>
        <w:t xml:space="preserve">'תגרי </w:t>
      </w:r>
      <w:proofErr w:type="spellStart"/>
      <w:r>
        <w:rPr>
          <w:rFonts w:ascii="David" w:hAnsi="David" w:cs="David"/>
          <w:sz w:val="28"/>
          <w:szCs w:val="28"/>
          <w:rtl/>
          <w:lang w:eastAsia="en-US"/>
        </w:rPr>
        <w:t>סימטא</w:t>
      </w:r>
      <w:proofErr w:type="spellEnd"/>
      <w:r>
        <w:rPr>
          <w:rFonts w:ascii="David" w:hAnsi="David" w:cs="David"/>
          <w:sz w:val="28"/>
          <w:szCs w:val="28"/>
          <w:rtl/>
          <w:lang w:eastAsia="en-US"/>
        </w:rPr>
        <w:t xml:space="preserve">' ו'אבן הלקח' - עיון </w:t>
      </w:r>
      <w:proofErr w:type="spellStart"/>
      <w:r>
        <w:rPr>
          <w:rFonts w:ascii="David" w:hAnsi="David" w:cs="David"/>
          <w:sz w:val="28"/>
          <w:szCs w:val="28"/>
          <w:rtl/>
          <w:lang w:eastAsia="en-US"/>
        </w:rPr>
        <w:t>בלכסיקוגרפיה</w:t>
      </w:r>
      <w:proofErr w:type="spellEnd"/>
      <w:r>
        <w:rPr>
          <w:rFonts w:ascii="David" w:hAnsi="David" w:cs="David"/>
          <w:sz w:val="28"/>
          <w:szCs w:val="28"/>
          <w:rtl/>
          <w:lang w:eastAsia="en-US"/>
        </w:rPr>
        <w:t xml:space="preserve"> תלמודית</w:t>
      </w:r>
      <w:r>
        <w:rPr>
          <w:rFonts w:ascii="David" w:hAnsi="David" w:cs="David" w:hint="cs"/>
          <w:sz w:val="28"/>
          <w:szCs w:val="28"/>
          <w:rtl/>
          <w:lang w:eastAsia="en-US"/>
        </w:rPr>
        <w:t xml:space="preserve">", לשוננו, </w:t>
      </w:r>
      <w:proofErr w:type="spellStart"/>
      <w:r>
        <w:rPr>
          <w:rFonts w:ascii="David" w:hAnsi="David" w:cs="David" w:hint="cs"/>
          <w:sz w:val="28"/>
          <w:szCs w:val="28"/>
          <w:rtl/>
          <w:lang w:eastAsia="en-US"/>
        </w:rPr>
        <w:t>סג</w:t>
      </w:r>
      <w:proofErr w:type="spellEnd"/>
      <w:r>
        <w:rPr>
          <w:rFonts w:ascii="David" w:hAnsi="David" w:cs="David" w:hint="cs"/>
          <w:sz w:val="28"/>
          <w:szCs w:val="28"/>
          <w:rtl/>
          <w:lang w:eastAsia="en-US"/>
        </w:rPr>
        <w:t xml:space="preserve"> (תשס"א), עמ' 227-238.</w:t>
      </w:r>
    </w:p>
    <w:p w:rsidR="00D72798" w:rsidRDefault="00D72798" w:rsidP="00317072">
      <w:pPr>
        <w:bidi/>
        <w:spacing w:line="400" w:lineRule="exact"/>
        <w:rPr>
          <w:rFonts w:ascii="David" w:hAnsi="David" w:cs="David" w:hint="cs"/>
          <w:sz w:val="28"/>
          <w:szCs w:val="28"/>
          <w:rtl/>
          <w:lang w:eastAsia="en-US"/>
        </w:rPr>
      </w:pPr>
    </w:p>
    <w:p w:rsidR="00F13738" w:rsidRDefault="00D72798" w:rsidP="00317072">
      <w:pPr>
        <w:bidi/>
        <w:spacing w:line="400" w:lineRule="exact"/>
        <w:rPr>
          <w:rFonts w:cs="David" w:hint="cs"/>
          <w:sz w:val="22"/>
          <w:szCs w:val="28"/>
          <w:rtl/>
        </w:rPr>
      </w:pPr>
      <w:r>
        <w:rPr>
          <w:rFonts w:cs="David" w:hint="cs"/>
          <w:sz w:val="22"/>
          <w:szCs w:val="28"/>
          <w:rtl/>
        </w:rPr>
        <w:t>"</w:t>
      </w:r>
      <w:proofErr w:type="spellStart"/>
      <w:r>
        <w:rPr>
          <w:rFonts w:cs="David" w:hint="cs"/>
          <w:sz w:val="22"/>
          <w:szCs w:val="28"/>
          <w:rtl/>
        </w:rPr>
        <w:t>גילגולה</w:t>
      </w:r>
      <w:proofErr w:type="spellEnd"/>
      <w:r>
        <w:rPr>
          <w:rFonts w:cs="David" w:hint="cs"/>
          <w:sz w:val="22"/>
          <w:szCs w:val="28"/>
          <w:rtl/>
        </w:rPr>
        <w:t xml:space="preserve"> של מסורת: סוגיית מותם של תלמידי רבי עקיבא", דברי</w:t>
      </w:r>
      <w:r w:rsidR="00F13738">
        <w:rPr>
          <w:rFonts w:cs="David" w:hint="cs"/>
          <w:sz w:val="22"/>
          <w:szCs w:val="28"/>
          <w:rtl/>
        </w:rPr>
        <w:t xml:space="preserve"> האיגוד למדעי </w:t>
      </w:r>
      <w:r>
        <w:rPr>
          <w:rFonts w:cs="David" w:hint="cs"/>
          <w:sz w:val="22"/>
          <w:szCs w:val="28"/>
          <w:rtl/>
        </w:rPr>
        <w:t>היהדות</w:t>
      </w:r>
      <w:r w:rsidR="00F13738">
        <w:rPr>
          <w:rFonts w:cs="David" w:hint="cs"/>
          <w:sz w:val="22"/>
          <w:szCs w:val="28"/>
          <w:rtl/>
        </w:rPr>
        <w:t>, 13</w:t>
      </w:r>
      <w:r w:rsidR="00295E2E">
        <w:rPr>
          <w:rFonts w:cs="David"/>
          <w:sz w:val="22"/>
          <w:szCs w:val="28"/>
        </w:rPr>
        <w:t xml:space="preserve"> </w:t>
      </w:r>
      <w:r w:rsidR="00295E2E">
        <w:rPr>
          <w:rFonts w:cs="David" w:hint="cs"/>
          <w:sz w:val="22"/>
          <w:szCs w:val="28"/>
          <w:rtl/>
        </w:rPr>
        <w:t xml:space="preserve"> </w:t>
      </w:r>
      <w:r w:rsidR="00F13738">
        <w:rPr>
          <w:rFonts w:cs="David" w:hint="cs"/>
          <w:sz w:val="22"/>
          <w:szCs w:val="28"/>
          <w:rtl/>
        </w:rPr>
        <w:t>(</w:t>
      </w:r>
      <w:r w:rsidR="00295E2E">
        <w:rPr>
          <w:rFonts w:cs="David" w:hint="cs"/>
          <w:sz w:val="22"/>
          <w:szCs w:val="28"/>
          <w:rtl/>
        </w:rPr>
        <w:t>2001</w:t>
      </w:r>
      <w:r w:rsidR="00F13738">
        <w:rPr>
          <w:rFonts w:cs="David" w:hint="cs"/>
          <w:sz w:val="22"/>
          <w:szCs w:val="28"/>
          <w:rtl/>
        </w:rPr>
        <w:t xml:space="preserve">), </w:t>
      </w:r>
      <w:hyperlink r:id="rId8" w:history="1">
        <w:r w:rsidR="00F13738" w:rsidRPr="00386BBB">
          <w:rPr>
            <w:rStyle w:val="Hyperlink"/>
            <w:rFonts w:cs="David"/>
            <w:sz w:val="22"/>
            <w:szCs w:val="28"/>
          </w:rPr>
          <w:t>http://www.lekket.com/articles/003000074.pdf</w:t>
        </w:r>
      </w:hyperlink>
      <w:r w:rsidR="00F13738">
        <w:rPr>
          <w:rFonts w:cs="David" w:hint="cs"/>
          <w:sz w:val="22"/>
          <w:szCs w:val="28"/>
          <w:rtl/>
        </w:rPr>
        <w:t>.</w:t>
      </w:r>
    </w:p>
    <w:p w:rsidR="00295E2E" w:rsidRDefault="00295E2E" w:rsidP="00317072">
      <w:pPr>
        <w:bidi/>
        <w:spacing w:line="400" w:lineRule="exact"/>
        <w:rPr>
          <w:rFonts w:ascii="David" w:hAnsi="David" w:cs="David"/>
          <w:b/>
          <w:bCs/>
          <w:sz w:val="28"/>
          <w:szCs w:val="28"/>
          <w:rtl/>
          <w:lang w:eastAsia="en-US"/>
        </w:rPr>
      </w:pPr>
    </w:p>
    <w:p w:rsidR="00D72798" w:rsidRDefault="00D72798" w:rsidP="00317072">
      <w:pPr>
        <w:bidi/>
        <w:spacing w:line="400" w:lineRule="exact"/>
        <w:rPr>
          <w:rFonts w:cs="David" w:hint="cs"/>
          <w:sz w:val="22"/>
          <w:szCs w:val="28"/>
          <w:rtl/>
        </w:rPr>
      </w:pPr>
      <w:r>
        <w:rPr>
          <w:rFonts w:cs="David" w:hint="cs"/>
          <w:sz w:val="22"/>
          <w:szCs w:val="28"/>
          <w:rtl/>
        </w:rPr>
        <w:t xml:space="preserve">"מקומם של כתבי היד התימניים במסורת הנוסח של בבלי פסחים", </w:t>
      </w:r>
      <w:r>
        <w:rPr>
          <w:rFonts w:cs="David"/>
          <w:i/>
          <w:iCs/>
          <w:sz w:val="24"/>
          <w:szCs w:val="24"/>
        </w:rPr>
        <w:t>Hebrew Union College Annual</w:t>
      </w:r>
      <w:r w:rsidR="00295E2E">
        <w:rPr>
          <w:rFonts w:cs="David" w:hint="cs"/>
          <w:sz w:val="22"/>
          <w:szCs w:val="28"/>
          <w:rtl/>
        </w:rPr>
        <w:t>, 73 (2002), עמ'</w:t>
      </w:r>
      <w:r w:rsidR="00F13738">
        <w:rPr>
          <w:rFonts w:cs="David" w:hint="cs"/>
          <w:sz w:val="22"/>
          <w:szCs w:val="28"/>
          <w:rtl/>
        </w:rPr>
        <w:t xml:space="preserve"> לא-עז.</w:t>
      </w:r>
    </w:p>
    <w:p w:rsidR="00665E39" w:rsidRDefault="00665E39" w:rsidP="00317072">
      <w:pPr>
        <w:bidi/>
        <w:spacing w:line="400" w:lineRule="exact"/>
        <w:rPr>
          <w:rFonts w:cs="David" w:hint="cs"/>
          <w:sz w:val="22"/>
          <w:szCs w:val="28"/>
          <w:rtl/>
        </w:rPr>
      </w:pPr>
    </w:p>
    <w:p w:rsidR="00D72798" w:rsidRDefault="00D72798" w:rsidP="00317072">
      <w:pPr>
        <w:bidi/>
        <w:spacing w:line="400" w:lineRule="exact"/>
        <w:rPr>
          <w:rFonts w:cs="David" w:hint="cs"/>
          <w:sz w:val="22"/>
          <w:szCs w:val="28"/>
          <w:rtl/>
        </w:rPr>
      </w:pPr>
      <w:r>
        <w:rPr>
          <w:rFonts w:cs="David" w:hint="cs"/>
          <w:sz w:val="22"/>
          <w:szCs w:val="28"/>
          <w:rtl/>
        </w:rPr>
        <w:t xml:space="preserve">"'טעה בדבר משנה': עיון במשנה ברכות ב:ד", </w:t>
      </w:r>
      <w:proofErr w:type="spellStart"/>
      <w:r>
        <w:rPr>
          <w:rFonts w:cs="David" w:hint="cs"/>
          <w:sz w:val="22"/>
          <w:szCs w:val="28"/>
          <w:rtl/>
        </w:rPr>
        <w:t>סידרא</w:t>
      </w:r>
      <w:proofErr w:type="spellEnd"/>
      <w:r>
        <w:rPr>
          <w:rFonts w:cs="David" w:hint="cs"/>
          <w:sz w:val="22"/>
          <w:szCs w:val="28"/>
          <w:rtl/>
        </w:rPr>
        <w:t xml:space="preserve">, </w:t>
      </w:r>
      <w:proofErr w:type="spellStart"/>
      <w:r>
        <w:rPr>
          <w:rFonts w:cs="David" w:hint="cs"/>
          <w:sz w:val="22"/>
          <w:szCs w:val="28"/>
          <w:rtl/>
        </w:rPr>
        <w:t>יט</w:t>
      </w:r>
      <w:proofErr w:type="spellEnd"/>
      <w:r w:rsidR="00F13738">
        <w:rPr>
          <w:rFonts w:cs="David" w:hint="cs"/>
          <w:sz w:val="22"/>
          <w:szCs w:val="28"/>
          <w:rtl/>
        </w:rPr>
        <w:t xml:space="preserve"> (</w:t>
      </w:r>
      <w:r w:rsidR="00752918">
        <w:rPr>
          <w:rFonts w:cs="David" w:hint="cs"/>
          <w:sz w:val="22"/>
          <w:szCs w:val="28"/>
          <w:rtl/>
        </w:rPr>
        <w:t>תשנ"ד</w:t>
      </w:r>
      <w:r w:rsidR="00F13738">
        <w:rPr>
          <w:rFonts w:cs="David" w:hint="cs"/>
          <w:sz w:val="22"/>
          <w:szCs w:val="28"/>
          <w:rtl/>
        </w:rPr>
        <w:t>), 117-135</w:t>
      </w:r>
      <w:r>
        <w:rPr>
          <w:rFonts w:cs="David" w:hint="cs"/>
          <w:sz w:val="22"/>
          <w:szCs w:val="28"/>
          <w:rtl/>
        </w:rPr>
        <w:t>.</w:t>
      </w:r>
    </w:p>
    <w:p w:rsidR="00D72798" w:rsidRPr="007F22DD" w:rsidRDefault="00D72798" w:rsidP="00317072">
      <w:pPr>
        <w:spacing w:line="400" w:lineRule="exact"/>
        <w:rPr>
          <w:rFonts w:cs="David"/>
          <w:sz w:val="26"/>
          <w:szCs w:val="26"/>
          <w:rtl/>
        </w:rPr>
      </w:pPr>
    </w:p>
    <w:p w:rsidR="00752918" w:rsidRDefault="00D72798" w:rsidP="00317072">
      <w:pPr>
        <w:bidi/>
        <w:spacing w:line="400" w:lineRule="exact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"'בר </w:t>
      </w:r>
      <w:proofErr w:type="spellStart"/>
      <w:r>
        <w:rPr>
          <w:rFonts w:cs="David" w:hint="cs"/>
          <w:sz w:val="28"/>
          <w:szCs w:val="28"/>
          <w:rtl/>
        </w:rPr>
        <w:t>פחין</w:t>
      </w:r>
      <w:proofErr w:type="spellEnd"/>
      <w:r>
        <w:rPr>
          <w:rFonts w:cs="David" w:hint="cs"/>
          <w:sz w:val="28"/>
          <w:szCs w:val="28"/>
          <w:rtl/>
        </w:rPr>
        <w:t>' 'בן פיחה' ו'בר פחתי': עיון בכמה כינויים תלמודיים ותולדותיהם", תרביץ</w:t>
      </w:r>
      <w:r w:rsidR="00F13738">
        <w:rPr>
          <w:rFonts w:cs="David" w:hint="cs"/>
          <w:sz w:val="28"/>
          <w:szCs w:val="28"/>
          <w:rtl/>
        </w:rPr>
        <w:t xml:space="preserve">, </w:t>
      </w:r>
      <w:r w:rsidR="00752918">
        <w:rPr>
          <w:rFonts w:cs="David" w:hint="cs"/>
          <w:sz w:val="28"/>
          <w:szCs w:val="28"/>
          <w:rtl/>
        </w:rPr>
        <w:t>עב (תשס"ג), עמ' 489-504.</w:t>
      </w:r>
    </w:p>
    <w:p w:rsidR="00752918" w:rsidRDefault="00752918" w:rsidP="00317072">
      <w:pPr>
        <w:bidi/>
        <w:spacing w:line="400" w:lineRule="exact"/>
        <w:rPr>
          <w:rFonts w:cs="David" w:hint="cs"/>
          <w:sz w:val="28"/>
          <w:szCs w:val="28"/>
          <w:rtl/>
        </w:rPr>
      </w:pPr>
    </w:p>
    <w:p w:rsidR="00665E39" w:rsidRPr="007F22DD" w:rsidRDefault="00665E39" w:rsidP="00317072">
      <w:pPr>
        <w:spacing w:line="400" w:lineRule="exact"/>
        <w:rPr>
          <w:sz w:val="26"/>
          <w:szCs w:val="26"/>
        </w:rPr>
      </w:pPr>
      <w:r w:rsidRPr="007F22DD">
        <w:rPr>
          <w:sz w:val="26"/>
          <w:szCs w:val="26"/>
        </w:rPr>
        <w:t xml:space="preserve">“The Death of Rabbi </w:t>
      </w:r>
      <w:proofErr w:type="spellStart"/>
      <w:r w:rsidRPr="007F22DD">
        <w:rPr>
          <w:sz w:val="26"/>
          <w:szCs w:val="26"/>
        </w:rPr>
        <w:t>Akiva's</w:t>
      </w:r>
      <w:proofErr w:type="spellEnd"/>
      <w:r w:rsidRPr="007F22DD">
        <w:rPr>
          <w:sz w:val="26"/>
          <w:szCs w:val="26"/>
        </w:rPr>
        <w:t xml:space="preserve"> Disciples: A Literary History”, </w:t>
      </w:r>
      <w:r w:rsidRPr="007F22DD">
        <w:rPr>
          <w:i/>
          <w:iCs/>
          <w:sz w:val="26"/>
          <w:szCs w:val="26"/>
        </w:rPr>
        <w:t>Journal of Jewish Studies</w:t>
      </w:r>
      <w:r w:rsidRPr="007F22DD">
        <w:rPr>
          <w:sz w:val="26"/>
          <w:szCs w:val="26"/>
        </w:rPr>
        <w:t>, 56</w:t>
      </w:r>
      <w:proofErr w:type="gramStart"/>
      <w:r w:rsidRPr="007F22DD">
        <w:rPr>
          <w:sz w:val="26"/>
          <w:szCs w:val="26"/>
        </w:rPr>
        <w:t>,2</w:t>
      </w:r>
      <w:proofErr w:type="gramEnd"/>
      <w:r w:rsidRPr="007F22DD">
        <w:rPr>
          <w:sz w:val="26"/>
          <w:szCs w:val="26"/>
        </w:rPr>
        <w:t xml:space="preserve"> (2005), pp. 265-284.</w:t>
      </w:r>
    </w:p>
    <w:p w:rsidR="00665E39" w:rsidRPr="00665E39" w:rsidRDefault="00665E39" w:rsidP="00317072">
      <w:pPr>
        <w:bidi/>
        <w:spacing w:line="400" w:lineRule="exact"/>
        <w:rPr>
          <w:rFonts w:cs="David" w:hint="cs"/>
          <w:sz w:val="28"/>
          <w:szCs w:val="28"/>
          <w:rtl/>
        </w:rPr>
      </w:pPr>
    </w:p>
    <w:p w:rsidR="00D72798" w:rsidRPr="007F22DD" w:rsidRDefault="002D6BC7" w:rsidP="00317072">
      <w:pPr>
        <w:bidi/>
        <w:spacing w:line="400" w:lineRule="exact"/>
        <w:rPr>
          <w:rFonts w:cs="David"/>
          <w:sz w:val="28"/>
          <w:szCs w:val="28"/>
        </w:rPr>
      </w:pPr>
      <w:r w:rsidRPr="007F22DD">
        <w:rPr>
          <w:rFonts w:cs="David" w:hint="cs"/>
          <w:sz w:val="28"/>
          <w:szCs w:val="28"/>
          <w:rtl/>
        </w:rPr>
        <w:lastRenderedPageBreak/>
        <w:t xml:space="preserve">"'כל מילה דלא </w:t>
      </w:r>
      <w:proofErr w:type="spellStart"/>
      <w:r w:rsidRPr="007F22DD">
        <w:rPr>
          <w:rFonts w:cs="David" w:hint="cs"/>
          <w:sz w:val="28"/>
          <w:szCs w:val="28"/>
          <w:rtl/>
        </w:rPr>
        <w:t>מחוורא</w:t>
      </w:r>
      <w:proofErr w:type="spellEnd"/>
      <w:r w:rsidRPr="007F22DD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7F22DD">
        <w:rPr>
          <w:rFonts w:cs="David" w:hint="cs"/>
          <w:sz w:val="28"/>
          <w:szCs w:val="28"/>
          <w:rtl/>
        </w:rPr>
        <w:t>מסמכין</w:t>
      </w:r>
      <w:proofErr w:type="spellEnd"/>
      <w:r w:rsidRPr="007F22DD">
        <w:rPr>
          <w:rFonts w:cs="David" w:hint="cs"/>
          <w:sz w:val="28"/>
          <w:szCs w:val="28"/>
          <w:rtl/>
        </w:rPr>
        <w:t xml:space="preserve"> לה מן אתרין סגין': ערך '</w:t>
      </w:r>
      <w:proofErr w:type="spellStart"/>
      <w:r w:rsidRPr="007F22DD">
        <w:rPr>
          <w:rFonts w:cs="David" w:hint="cs"/>
          <w:sz w:val="28"/>
          <w:szCs w:val="28"/>
          <w:rtl/>
        </w:rPr>
        <w:t>פיקרין</w:t>
      </w:r>
      <w:proofErr w:type="spellEnd"/>
      <w:r w:rsidRPr="007F22DD">
        <w:rPr>
          <w:rFonts w:cs="David" w:hint="cs"/>
          <w:sz w:val="28"/>
          <w:szCs w:val="28"/>
          <w:rtl/>
        </w:rPr>
        <w:t>' וערך '</w:t>
      </w:r>
      <w:proofErr w:type="spellStart"/>
      <w:r w:rsidRPr="007F22DD">
        <w:rPr>
          <w:rFonts w:cs="David" w:hint="cs"/>
          <w:sz w:val="28"/>
          <w:szCs w:val="28"/>
          <w:rtl/>
        </w:rPr>
        <w:t>פיקייליה</w:t>
      </w:r>
      <w:proofErr w:type="spellEnd"/>
      <w:r w:rsidRPr="007F22DD">
        <w:rPr>
          <w:rFonts w:cs="David" w:hint="cs"/>
          <w:sz w:val="28"/>
          <w:szCs w:val="28"/>
          <w:rtl/>
        </w:rPr>
        <w:t xml:space="preserve">'", תרביץ, </w:t>
      </w:r>
      <w:r w:rsidR="00F13738" w:rsidRPr="007F22DD">
        <w:rPr>
          <w:rFonts w:cs="David" w:hint="cs"/>
          <w:sz w:val="28"/>
          <w:szCs w:val="28"/>
          <w:rtl/>
        </w:rPr>
        <w:t>עד (תש</w:t>
      </w:r>
      <w:r w:rsidRPr="007F22DD">
        <w:rPr>
          <w:rFonts w:cs="David" w:hint="cs"/>
          <w:sz w:val="28"/>
          <w:szCs w:val="28"/>
          <w:rtl/>
        </w:rPr>
        <w:t>ס</w:t>
      </w:r>
      <w:r w:rsidR="00F13738" w:rsidRPr="007F22DD">
        <w:rPr>
          <w:rFonts w:cs="David" w:hint="cs"/>
          <w:sz w:val="28"/>
          <w:szCs w:val="28"/>
          <w:rtl/>
        </w:rPr>
        <w:t>"ה), עמ' 565-576</w:t>
      </w:r>
      <w:r w:rsidR="00D72798" w:rsidRPr="007F22DD">
        <w:rPr>
          <w:rFonts w:cs="David" w:hint="cs"/>
          <w:sz w:val="28"/>
          <w:szCs w:val="28"/>
          <w:rtl/>
        </w:rPr>
        <w:t>.</w:t>
      </w:r>
    </w:p>
    <w:p w:rsidR="00D72798" w:rsidRPr="007F22DD" w:rsidRDefault="00D72798" w:rsidP="00317072">
      <w:pPr>
        <w:bidi/>
        <w:spacing w:line="400" w:lineRule="exact"/>
        <w:rPr>
          <w:rFonts w:cs="David" w:hint="cs"/>
          <w:sz w:val="28"/>
          <w:szCs w:val="28"/>
          <w:rtl/>
        </w:rPr>
      </w:pPr>
    </w:p>
    <w:p w:rsidR="00F13738" w:rsidRPr="007F22DD" w:rsidRDefault="00F13738" w:rsidP="00317072">
      <w:pPr>
        <w:bidi/>
        <w:spacing w:line="400" w:lineRule="exact"/>
        <w:rPr>
          <w:rFonts w:cs="David" w:hint="cs"/>
          <w:sz w:val="28"/>
          <w:szCs w:val="28"/>
          <w:rtl/>
        </w:rPr>
      </w:pPr>
      <w:r w:rsidRPr="007F22DD">
        <w:rPr>
          <w:rFonts w:cs="David" w:hint="cs"/>
          <w:sz w:val="28"/>
          <w:szCs w:val="28"/>
          <w:rtl/>
        </w:rPr>
        <w:t xml:space="preserve">"על גרסת רבנו חננאל בבבלי פסחים ח ע"ב", </w:t>
      </w:r>
      <w:proofErr w:type="spellStart"/>
      <w:r w:rsidRPr="007F22DD">
        <w:rPr>
          <w:rFonts w:cs="David" w:hint="cs"/>
          <w:sz w:val="28"/>
          <w:szCs w:val="28"/>
          <w:rtl/>
        </w:rPr>
        <w:t>סידרא</w:t>
      </w:r>
      <w:proofErr w:type="spellEnd"/>
      <w:r w:rsidRPr="007F22DD">
        <w:rPr>
          <w:rFonts w:cs="David" w:hint="cs"/>
          <w:sz w:val="28"/>
          <w:szCs w:val="28"/>
          <w:rtl/>
        </w:rPr>
        <w:t xml:space="preserve">, </w:t>
      </w:r>
      <w:proofErr w:type="spellStart"/>
      <w:r w:rsidRPr="007F22DD">
        <w:rPr>
          <w:rFonts w:cs="David" w:hint="cs"/>
          <w:sz w:val="28"/>
          <w:szCs w:val="28"/>
          <w:rtl/>
        </w:rPr>
        <w:t>כא</w:t>
      </w:r>
      <w:proofErr w:type="spellEnd"/>
      <w:r w:rsidRPr="007F22DD">
        <w:rPr>
          <w:rFonts w:cs="David" w:hint="cs"/>
          <w:sz w:val="28"/>
          <w:szCs w:val="28"/>
          <w:rtl/>
        </w:rPr>
        <w:t xml:space="preserve"> (תשס"ו), עמ' 133-144.</w:t>
      </w:r>
    </w:p>
    <w:p w:rsidR="00295E2E" w:rsidRPr="007F22DD" w:rsidRDefault="00295E2E" w:rsidP="00317072">
      <w:pPr>
        <w:bidi/>
        <w:spacing w:line="400" w:lineRule="exact"/>
        <w:rPr>
          <w:rFonts w:cs="David" w:hint="cs"/>
          <w:sz w:val="28"/>
          <w:szCs w:val="28"/>
          <w:rtl/>
        </w:rPr>
      </w:pPr>
    </w:p>
    <w:p w:rsidR="00BE02F1" w:rsidRPr="007F22DD" w:rsidRDefault="00BE02F1" w:rsidP="00317072">
      <w:pPr>
        <w:bidi/>
        <w:spacing w:line="400" w:lineRule="exact"/>
        <w:rPr>
          <w:rFonts w:hint="cs"/>
          <w:rtl/>
        </w:rPr>
      </w:pPr>
      <w:r w:rsidRPr="007F22DD">
        <w:rPr>
          <w:rFonts w:cs="David" w:hint="cs"/>
          <w:sz w:val="28"/>
          <w:szCs w:val="28"/>
          <w:rtl/>
        </w:rPr>
        <w:t xml:space="preserve">"שני ענפי הנוסח של פרק 'היה קורא' בבבלי ברכות ותרומתם להבנת תולדות </w:t>
      </w:r>
      <w:r w:rsidRPr="007F22DD">
        <w:rPr>
          <w:rFonts w:cs="David" w:hint="cs"/>
          <w:sz w:val="28"/>
          <w:szCs w:val="28"/>
          <w:rtl/>
          <w:lang w:val="el-GR"/>
        </w:rPr>
        <w:t>ה</w:t>
      </w:r>
      <w:r w:rsidRPr="007F22DD">
        <w:rPr>
          <w:rFonts w:cs="David" w:hint="cs"/>
          <w:sz w:val="28"/>
          <w:szCs w:val="28"/>
          <w:rtl/>
        </w:rPr>
        <w:t>עריכה של הבבלי", תורה לשמה: ספר היובל לכבוד שמא יהודה פרידמן,</w:t>
      </w:r>
      <w:r w:rsidR="00660CA5" w:rsidRPr="007F22DD">
        <w:rPr>
          <w:rFonts w:cs="David" w:hint="cs"/>
          <w:sz w:val="28"/>
          <w:szCs w:val="28"/>
          <w:rtl/>
        </w:rPr>
        <w:t xml:space="preserve"> ירושלים, תש</w:t>
      </w:r>
      <w:r w:rsidR="007F22DD">
        <w:rPr>
          <w:rFonts w:cs="David" w:hint="cs"/>
          <w:sz w:val="28"/>
          <w:szCs w:val="28"/>
          <w:rtl/>
        </w:rPr>
        <w:t>ס"ח</w:t>
      </w:r>
      <w:r w:rsidR="00660CA5" w:rsidRPr="007F22DD">
        <w:rPr>
          <w:rFonts w:cs="David" w:hint="cs"/>
          <w:sz w:val="28"/>
          <w:szCs w:val="28"/>
          <w:rtl/>
        </w:rPr>
        <w:t>,</w:t>
      </w:r>
      <w:r w:rsidRPr="007F22DD">
        <w:rPr>
          <w:rFonts w:cs="David" w:hint="cs"/>
          <w:sz w:val="28"/>
          <w:szCs w:val="28"/>
          <w:rtl/>
        </w:rPr>
        <w:t xml:space="preserve"> עמ' 223-267.</w:t>
      </w:r>
    </w:p>
    <w:p w:rsidR="00BE02F1" w:rsidRPr="007F22DD" w:rsidRDefault="00BE02F1" w:rsidP="00317072">
      <w:pPr>
        <w:bidi/>
        <w:spacing w:line="400" w:lineRule="exact"/>
        <w:rPr>
          <w:rFonts w:cs="David" w:hint="cs"/>
          <w:sz w:val="28"/>
          <w:szCs w:val="28"/>
        </w:rPr>
      </w:pPr>
    </w:p>
    <w:p w:rsidR="0080122D" w:rsidRPr="007F22DD" w:rsidRDefault="0080122D" w:rsidP="00317072">
      <w:pPr>
        <w:spacing w:line="400" w:lineRule="exact"/>
        <w:rPr>
          <w:sz w:val="26"/>
          <w:szCs w:val="26"/>
        </w:rPr>
      </w:pPr>
      <w:r w:rsidRPr="007F22DD">
        <w:rPr>
          <w:sz w:val="26"/>
          <w:szCs w:val="26"/>
        </w:rPr>
        <w:t xml:space="preserve">“The Curious Case of </w:t>
      </w:r>
      <w:proofErr w:type="spellStart"/>
      <w:r w:rsidRPr="007F22DD">
        <w:rPr>
          <w:i/>
          <w:iCs/>
          <w:sz w:val="26"/>
          <w:szCs w:val="26"/>
        </w:rPr>
        <w:t>Tefillin</w:t>
      </w:r>
      <w:proofErr w:type="spellEnd"/>
      <w:r w:rsidRPr="007F22DD">
        <w:rPr>
          <w:sz w:val="26"/>
          <w:szCs w:val="26"/>
        </w:rPr>
        <w:t xml:space="preserve">: A Study in Ritual Blessings”, </w:t>
      </w:r>
      <w:r w:rsidRPr="007F22DD">
        <w:rPr>
          <w:i/>
          <w:iCs/>
          <w:sz w:val="26"/>
          <w:szCs w:val="26"/>
        </w:rPr>
        <w:t>Jewish Studies Quarterly</w:t>
      </w:r>
      <w:r w:rsidRPr="007F22DD">
        <w:rPr>
          <w:sz w:val="26"/>
          <w:szCs w:val="26"/>
        </w:rPr>
        <w:t>, 15 (2008), pp. 269-288.</w:t>
      </w:r>
    </w:p>
    <w:p w:rsidR="0080122D" w:rsidRPr="007F22DD" w:rsidRDefault="0080122D" w:rsidP="00317072">
      <w:pPr>
        <w:bidi/>
        <w:spacing w:line="400" w:lineRule="exact"/>
        <w:rPr>
          <w:rFonts w:cs="David" w:hint="cs"/>
          <w:sz w:val="28"/>
          <w:szCs w:val="28"/>
        </w:rPr>
      </w:pPr>
    </w:p>
    <w:p w:rsidR="004C03D9" w:rsidRPr="007F22DD" w:rsidRDefault="004C03D9" w:rsidP="00317072">
      <w:pPr>
        <w:bidi/>
        <w:spacing w:line="400" w:lineRule="exact"/>
        <w:rPr>
          <w:rFonts w:cs="David"/>
          <w:sz w:val="28"/>
          <w:szCs w:val="28"/>
          <w:rtl/>
        </w:rPr>
      </w:pPr>
      <w:r w:rsidRPr="007F22DD">
        <w:rPr>
          <w:rFonts w:cs="David" w:hint="cs"/>
          <w:sz w:val="28"/>
          <w:szCs w:val="28"/>
          <w:rtl/>
        </w:rPr>
        <w:t>"'</w:t>
      </w:r>
      <w:proofErr w:type="spellStart"/>
      <w:r w:rsidRPr="007F22DD">
        <w:rPr>
          <w:rFonts w:cs="David" w:hint="cs"/>
          <w:sz w:val="28"/>
          <w:szCs w:val="28"/>
          <w:rtl/>
        </w:rPr>
        <w:t>האסטו</w:t>
      </w:r>
      <w:proofErr w:type="spellEnd"/>
      <w:r w:rsidRPr="007F22DD">
        <w:rPr>
          <w:rFonts w:cs="David" w:hint="cs"/>
          <w:sz w:val="28"/>
          <w:szCs w:val="28"/>
          <w:rtl/>
        </w:rPr>
        <w:t xml:space="preserve">' </w:t>
      </w:r>
      <w:proofErr w:type="spellStart"/>
      <w:r w:rsidRPr="007F22DD">
        <w:rPr>
          <w:rFonts w:cs="David" w:hint="cs"/>
          <w:sz w:val="28"/>
          <w:szCs w:val="28"/>
          <w:rtl/>
        </w:rPr>
        <w:t>ו'אגיסטון</w:t>
      </w:r>
      <w:proofErr w:type="spellEnd"/>
      <w:r w:rsidRPr="007F22DD">
        <w:rPr>
          <w:rFonts w:cs="David" w:hint="cs"/>
          <w:sz w:val="28"/>
          <w:szCs w:val="28"/>
          <w:rtl/>
        </w:rPr>
        <w:t>': על תרומת העיון המשווה בבבלי ובירושלמי ללקסיקוגרפיה התלמודית", לשוננו</w:t>
      </w:r>
      <w:r w:rsidR="00D814E4" w:rsidRPr="007F22DD">
        <w:rPr>
          <w:rFonts w:cs="David" w:hint="cs"/>
          <w:sz w:val="28"/>
          <w:szCs w:val="28"/>
          <w:rtl/>
        </w:rPr>
        <w:t xml:space="preserve"> עב (תש"ע), עמ' 153-135</w:t>
      </w:r>
      <w:r w:rsidRPr="007F22DD">
        <w:rPr>
          <w:rFonts w:cs="David" w:hint="cs"/>
          <w:sz w:val="28"/>
          <w:szCs w:val="28"/>
          <w:rtl/>
        </w:rPr>
        <w:t>.</w:t>
      </w:r>
    </w:p>
    <w:p w:rsidR="004C03D9" w:rsidRPr="007F22DD" w:rsidRDefault="004C03D9" w:rsidP="00317072">
      <w:pPr>
        <w:bidi/>
        <w:spacing w:line="400" w:lineRule="exact"/>
        <w:rPr>
          <w:rFonts w:cs="David" w:hint="cs"/>
          <w:sz w:val="28"/>
          <w:szCs w:val="28"/>
        </w:rPr>
      </w:pPr>
    </w:p>
    <w:p w:rsidR="00A85788" w:rsidRPr="00A85788" w:rsidRDefault="00A85788" w:rsidP="00317072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“A Rabbinic Satire on the Last Judgement”, </w:t>
      </w:r>
      <w:r w:rsidRPr="007D697B">
        <w:rPr>
          <w:i/>
          <w:iCs/>
          <w:sz w:val="26"/>
          <w:szCs w:val="26"/>
        </w:rPr>
        <w:t>Journal of Biblical Literature</w:t>
      </w:r>
      <w:r>
        <w:rPr>
          <w:sz w:val="26"/>
          <w:szCs w:val="26"/>
        </w:rPr>
        <w:t xml:space="preserve"> 129 no. 4 (2010), pp. 679-697.</w:t>
      </w:r>
    </w:p>
    <w:p w:rsidR="00A85788" w:rsidRDefault="00A85788" w:rsidP="00317072">
      <w:pPr>
        <w:spacing w:line="400" w:lineRule="exact"/>
        <w:jc w:val="both"/>
      </w:pPr>
    </w:p>
    <w:p w:rsidR="00A85788" w:rsidRPr="00A85788" w:rsidRDefault="00A85788" w:rsidP="00317072">
      <w:pPr>
        <w:bidi/>
        <w:spacing w:line="400" w:lineRule="exact"/>
        <w:jc w:val="both"/>
        <w:rPr>
          <w:rFonts w:cs="David"/>
          <w:sz w:val="28"/>
          <w:szCs w:val="28"/>
        </w:rPr>
      </w:pPr>
      <w:r w:rsidRPr="00A85788">
        <w:rPr>
          <w:rFonts w:cs="David" w:hint="cs"/>
          <w:sz w:val="28"/>
          <w:szCs w:val="28"/>
          <w:rtl/>
          <w:lang w:val="el-GR"/>
        </w:rPr>
        <w:t>"</w:t>
      </w:r>
      <w:r>
        <w:rPr>
          <w:rFonts w:cs="David" w:hint="cs"/>
          <w:sz w:val="28"/>
          <w:szCs w:val="28"/>
          <w:rtl/>
          <w:lang w:val="el-GR"/>
        </w:rPr>
        <w:t>'</w:t>
      </w:r>
      <w:proofErr w:type="spellStart"/>
      <w:r w:rsidRPr="00A85788">
        <w:rPr>
          <w:rFonts w:cs="David" w:hint="cs"/>
          <w:sz w:val="28"/>
          <w:szCs w:val="28"/>
          <w:rtl/>
          <w:lang w:val="el-GR"/>
        </w:rPr>
        <w:t>אגיסטון</w:t>
      </w:r>
      <w:proofErr w:type="spellEnd"/>
      <w:r>
        <w:rPr>
          <w:rFonts w:cs="David" w:hint="cs"/>
          <w:sz w:val="28"/>
          <w:szCs w:val="28"/>
          <w:rtl/>
          <w:lang w:val="el-GR"/>
        </w:rPr>
        <w:t>'</w:t>
      </w:r>
      <w:r w:rsidRPr="00A85788">
        <w:rPr>
          <w:rFonts w:cs="David" w:hint="cs"/>
          <w:sz w:val="28"/>
          <w:szCs w:val="28"/>
          <w:rtl/>
          <w:lang w:val="el-GR"/>
        </w:rPr>
        <w:t xml:space="preserve"> </w:t>
      </w:r>
      <w:proofErr w:type="spellStart"/>
      <w:r w:rsidRPr="00A85788">
        <w:rPr>
          <w:rFonts w:cs="David" w:hint="cs"/>
          <w:sz w:val="28"/>
          <w:szCs w:val="28"/>
          <w:rtl/>
          <w:lang w:val="el-GR"/>
        </w:rPr>
        <w:t>ו</w:t>
      </w:r>
      <w:r>
        <w:rPr>
          <w:rFonts w:cs="David" w:hint="cs"/>
          <w:sz w:val="28"/>
          <w:szCs w:val="28"/>
          <w:rtl/>
          <w:lang w:val="el-GR"/>
        </w:rPr>
        <w:t>'</w:t>
      </w:r>
      <w:r w:rsidRPr="00A85788">
        <w:rPr>
          <w:rFonts w:cs="David" w:hint="cs"/>
          <w:sz w:val="28"/>
          <w:szCs w:val="28"/>
          <w:rtl/>
          <w:lang w:val="el-GR"/>
        </w:rPr>
        <w:t>האסטו</w:t>
      </w:r>
      <w:proofErr w:type="spellEnd"/>
      <w:r>
        <w:rPr>
          <w:rFonts w:cs="David" w:hint="cs"/>
          <w:sz w:val="28"/>
          <w:szCs w:val="28"/>
          <w:rtl/>
          <w:lang w:val="el-GR"/>
        </w:rPr>
        <w:t>'</w:t>
      </w:r>
      <w:r w:rsidRPr="00A85788">
        <w:rPr>
          <w:rFonts w:cs="David" w:hint="cs"/>
          <w:sz w:val="28"/>
          <w:szCs w:val="28"/>
          <w:rtl/>
          <w:lang w:val="el-GR"/>
        </w:rPr>
        <w:t xml:space="preserve"> יחדיו ירננו</w:t>
      </w:r>
      <w:r>
        <w:rPr>
          <w:rFonts w:cs="David" w:hint="cs"/>
          <w:sz w:val="28"/>
          <w:szCs w:val="28"/>
          <w:rtl/>
          <w:lang w:val="el-GR"/>
        </w:rPr>
        <w:t>"</w:t>
      </w:r>
      <w:r w:rsidRPr="00A85788">
        <w:rPr>
          <w:rFonts w:cs="David" w:hint="cs"/>
          <w:sz w:val="28"/>
          <w:szCs w:val="28"/>
          <w:rtl/>
          <w:lang w:val="el-GR"/>
        </w:rPr>
        <w:t xml:space="preserve">, לשוננו </w:t>
      </w:r>
      <w:proofErr w:type="spellStart"/>
      <w:r w:rsidRPr="00A85788">
        <w:rPr>
          <w:rFonts w:cs="David" w:hint="cs"/>
          <w:sz w:val="28"/>
          <w:szCs w:val="28"/>
          <w:rtl/>
          <w:lang w:val="el-GR"/>
        </w:rPr>
        <w:t>עג</w:t>
      </w:r>
      <w:proofErr w:type="spellEnd"/>
      <w:r w:rsidRPr="00A85788">
        <w:rPr>
          <w:rFonts w:cs="David" w:hint="cs"/>
          <w:sz w:val="28"/>
          <w:szCs w:val="28"/>
          <w:rtl/>
          <w:lang w:val="el-GR"/>
        </w:rPr>
        <w:t xml:space="preserve"> (תשע"א), עמ' 490-479.</w:t>
      </w:r>
    </w:p>
    <w:p w:rsidR="00A85788" w:rsidRDefault="00A85788" w:rsidP="00317072">
      <w:pPr>
        <w:spacing w:line="400" w:lineRule="exact"/>
        <w:jc w:val="both"/>
      </w:pPr>
    </w:p>
    <w:p w:rsidR="00A85788" w:rsidRPr="007A4DCA" w:rsidRDefault="00A85788" w:rsidP="00317072">
      <w:pPr>
        <w:spacing w:line="400" w:lineRule="exact"/>
        <w:rPr>
          <w:rFonts w:cs="Times New Roman"/>
          <w:sz w:val="26"/>
          <w:szCs w:val="26"/>
        </w:rPr>
      </w:pPr>
      <w:r w:rsidRPr="007A4DCA">
        <w:rPr>
          <w:rFonts w:cs="Times New Roman"/>
          <w:sz w:val="26"/>
          <w:szCs w:val="26"/>
        </w:rPr>
        <w:t xml:space="preserve">“The Homilies on </w:t>
      </w:r>
      <w:r w:rsidRPr="007A4DCA">
        <w:rPr>
          <w:rFonts w:cs="Times New Roman"/>
          <w:i/>
          <w:iCs/>
          <w:sz w:val="26"/>
          <w:szCs w:val="26"/>
        </w:rPr>
        <w:t>Mishnah</w:t>
      </w:r>
      <w:r w:rsidRPr="007A4DCA">
        <w:rPr>
          <w:rFonts w:cs="Times New Roman"/>
          <w:sz w:val="26"/>
          <w:szCs w:val="26"/>
        </w:rPr>
        <w:t xml:space="preserve"> and </w:t>
      </w:r>
      <w:r w:rsidRPr="007A4DCA">
        <w:rPr>
          <w:rFonts w:cs="Times New Roman"/>
          <w:i/>
          <w:iCs/>
          <w:sz w:val="26"/>
          <w:szCs w:val="26"/>
        </w:rPr>
        <w:t>Talmud</w:t>
      </w:r>
      <w:r w:rsidRPr="007A4DCA">
        <w:rPr>
          <w:rFonts w:cs="Times New Roman"/>
          <w:sz w:val="26"/>
          <w:szCs w:val="26"/>
        </w:rPr>
        <w:t xml:space="preserve"> Study at the Close of </w:t>
      </w:r>
      <w:proofErr w:type="spellStart"/>
      <w:r w:rsidRPr="007A4DCA">
        <w:rPr>
          <w:rFonts w:cs="Times New Roman"/>
          <w:sz w:val="26"/>
          <w:szCs w:val="26"/>
        </w:rPr>
        <w:t>Bavli</w:t>
      </w:r>
      <w:proofErr w:type="spellEnd"/>
      <w:r w:rsidRPr="007A4DCA">
        <w:rPr>
          <w:rFonts w:cs="Times New Roman"/>
          <w:sz w:val="26"/>
          <w:szCs w:val="26"/>
        </w:rPr>
        <w:t xml:space="preserve"> </w:t>
      </w:r>
      <w:proofErr w:type="spellStart"/>
      <w:r w:rsidRPr="007A4DCA">
        <w:rPr>
          <w:rFonts w:cs="Times New Roman"/>
          <w:sz w:val="26"/>
          <w:szCs w:val="26"/>
        </w:rPr>
        <w:t>Bava</w:t>
      </w:r>
      <w:proofErr w:type="spellEnd"/>
      <w:r w:rsidRPr="007A4DCA">
        <w:rPr>
          <w:rFonts w:cs="Times New Roman"/>
          <w:sz w:val="26"/>
          <w:szCs w:val="26"/>
        </w:rPr>
        <w:t xml:space="preserve">’ </w:t>
      </w:r>
      <w:proofErr w:type="spellStart"/>
      <w:r w:rsidRPr="007A4DCA">
        <w:rPr>
          <w:rFonts w:cs="Times New Roman"/>
          <w:sz w:val="26"/>
          <w:szCs w:val="26"/>
        </w:rPr>
        <w:t>Metsiʽaʼ</w:t>
      </w:r>
      <w:proofErr w:type="spellEnd"/>
      <w:r w:rsidRPr="007A4DCA">
        <w:rPr>
          <w:rFonts w:cs="Times New Roman"/>
          <w:sz w:val="26"/>
          <w:szCs w:val="26"/>
        </w:rPr>
        <w:t xml:space="preserve"> 2 and </w:t>
      </w:r>
      <w:proofErr w:type="spellStart"/>
      <w:r w:rsidRPr="007A4DCA">
        <w:rPr>
          <w:rFonts w:cs="Times New Roman"/>
          <w:sz w:val="26"/>
          <w:szCs w:val="26"/>
        </w:rPr>
        <w:t>Yerushalmi</w:t>
      </w:r>
      <w:proofErr w:type="spellEnd"/>
      <w:r w:rsidRPr="007A4DCA">
        <w:rPr>
          <w:rFonts w:cs="Times New Roman"/>
          <w:sz w:val="26"/>
          <w:szCs w:val="26"/>
        </w:rPr>
        <w:t xml:space="preserve"> </w:t>
      </w:r>
      <w:proofErr w:type="spellStart"/>
      <w:r w:rsidRPr="007A4DCA">
        <w:rPr>
          <w:rFonts w:cs="Times New Roman"/>
          <w:i/>
          <w:iCs/>
          <w:sz w:val="26"/>
          <w:szCs w:val="26"/>
        </w:rPr>
        <w:t>Horayot</w:t>
      </w:r>
      <w:proofErr w:type="spellEnd"/>
      <w:r w:rsidRPr="007A4DCA">
        <w:rPr>
          <w:rFonts w:cs="Times New Roman"/>
          <w:sz w:val="26"/>
          <w:szCs w:val="26"/>
        </w:rPr>
        <w:t xml:space="preserve"> 3: Their Origin and Development”, </w:t>
      </w:r>
      <w:r w:rsidRPr="007A4DCA">
        <w:rPr>
          <w:rFonts w:cs="Times New Roman"/>
          <w:i/>
          <w:iCs/>
          <w:sz w:val="26"/>
          <w:szCs w:val="26"/>
        </w:rPr>
        <w:t>Jewish Quarterly Review</w:t>
      </w:r>
      <w:r w:rsidRPr="007A4DCA">
        <w:rPr>
          <w:rFonts w:cs="Times New Roman"/>
          <w:sz w:val="26"/>
          <w:szCs w:val="26"/>
        </w:rPr>
        <w:t>, Vol. 102 No. 2 (Spring 2012), pp. 163-189.</w:t>
      </w:r>
    </w:p>
    <w:p w:rsidR="00A85788" w:rsidRDefault="00A85788" w:rsidP="00317072">
      <w:pPr>
        <w:spacing w:line="400" w:lineRule="exact"/>
        <w:jc w:val="both"/>
      </w:pPr>
    </w:p>
    <w:p w:rsidR="00C1735B" w:rsidRDefault="00C1735B" w:rsidP="00317072">
      <w:pPr>
        <w:spacing w:line="400" w:lineRule="exact"/>
        <w:jc w:val="both"/>
      </w:pPr>
      <w:r w:rsidRPr="007A4DCA">
        <w:rPr>
          <w:rFonts w:cs="Times New Roman"/>
          <w:sz w:val="26"/>
          <w:szCs w:val="26"/>
        </w:rPr>
        <w:t xml:space="preserve">“The ‘Halakhic Kernel’ as a Criterion for Dating Babylonian </w:t>
      </w:r>
      <w:proofErr w:type="spellStart"/>
      <w:r w:rsidRPr="007A4DCA">
        <w:rPr>
          <w:rFonts w:cs="Times New Roman"/>
          <w:sz w:val="26"/>
          <w:szCs w:val="26"/>
        </w:rPr>
        <w:t>Aggadah</w:t>
      </w:r>
      <w:proofErr w:type="spellEnd"/>
      <w:r w:rsidRPr="007A4DCA">
        <w:rPr>
          <w:rFonts w:cs="Times New Roman"/>
          <w:sz w:val="26"/>
          <w:szCs w:val="26"/>
        </w:rPr>
        <w:t xml:space="preserve">: </w:t>
      </w:r>
      <w:proofErr w:type="spellStart"/>
      <w:r w:rsidRPr="007A4DCA">
        <w:rPr>
          <w:rFonts w:cs="Times New Roman"/>
          <w:sz w:val="26"/>
          <w:szCs w:val="26"/>
        </w:rPr>
        <w:t>Bavli</w:t>
      </w:r>
      <w:proofErr w:type="spellEnd"/>
      <w:r w:rsidRPr="007A4DCA">
        <w:rPr>
          <w:rFonts w:cs="Times New Roman"/>
          <w:sz w:val="26"/>
          <w:szCs w:val="26"/>
        </w:rPr>
        <w:t xml:space="preserve"> </w:t>
      </w:r>
      <w:proofErr w:type="spellStart"/>
      <w:r w:rsidRPr="007A4DCA">
        <w:rPr>
          <w:rFonts w:cs="Times New Roman"/>
          <w:sz w:val="26"/>
          <w:szCs w:val="26"/>
        </w:rPr>
        <w:t>Hullin</w:t>
      </w:r>
      <w:proofErr w:type="spellEnd"/>
      <w:r w:rsidRPr="007A4DCA">
        <w:rPr>
          <w:rFonts w:cs="Times New Roman"/>
          <w:sz w:val="26"/>
          <w:szCs w:val="26"/>
        </w:rPr>
        <w:t xml:space="preserve"> 110a-b and Parallels”, </w:t>
      </w:r>
      <w:r w:rsidRPr="007A4DCA">
        <w:rPr>
          <w:rFonts w:cs="Times New Roman"/>
          <w:i/>
          <w:iCs/>
          <w:sz w:val="26"/>
          <w:szCs w:val="26"/>
        </w:rPr>
        <w:t>AJS Review</w:t>
      </w:r>
      <w:r>
        <w:rPr>
          <w:rFonts w:cs="Times New Roman"/>
          <w:sz w:val="26"/>
          <w:szCs w:val="26"/>
        </w:rPr>
        <w:t xml:space="preserve"> </w:t>
      </w:r>
      <w:r w:rsidR="00CB5DFB">
        <w:rPr>
          <w:rFonts w:cs="Times New Roman"/>
          <w:sz w:val="26"/>
          <w:szCs w:val="26"/>
        </w:rPr>
        <w:t>36</w:t>
      </w:r>
      <w:r w:rsidR="00411F56">
        <w:rPr>
          <w:rFonts w:cs="Times New Roman"/>
          <w:sz w:val="26"/>
          <w:szCs w:val="26"/>
        </w:rPr>
        <w:t>:2</w:t>
      </w:r>
      <w:r w:rsidR="00CB5DFB">
        <w:rPr>
          <w:rFonts w:cs="Times New Roman"/>
          <w:sz w:val="26"/>
          <w:szCs w:val="26"/>
        </w:rPr>
        <w:t xml:space="preserve"> (</w:t>
      </w:r>
      <w:r w:rsidR="00411F56">
        <w:rPr>
          <w:rFonts w:cs="Times New Roman"/>
          <w:sz w:val="26"/>
          <w:szCs w:val="26"/>
        </w:rPr>
        <w:t xml:space="preserve">November </w:t>
      </w:r>
      <w:r w:rsidR="00CB5DFB">
        <w:rPr>
          <w:rFonts w:cs="Times New Roman"/>
          <w:sz w:val="26"/>
          <w:szCs w:val="26"/>
        </w:rPr>
        <w:t>2012), pp. 187-205.</w:t>
      </w:r>
    </w:p>
    <w:p w:rsidR="002D6BC7" w:rsidRDefault="002D6BC7" w:rsidP="00317072">
      <w:pPr>
        <w:bidi/>
        <w:spacing w:line="400" w:lineRule="exact"/>
        <w:rPr>
          <w:rFonts w:cs="David" w:hint="cs"/>
          <w:b/>
          <w:bCs/>
          <w:sz w:val="28"/>
          <w:szCs w:val="28"/>
          <w:rtl/>
        </w:rPr>
      </w:pPr>
    </w:p>
    <w:p w:rsidR="00F13738" w:rsidRDefault="00F13738" w:rsidP="00317072">
      <w:pPr>
        <w:bidi/>
        <w:spacing w:line="400" w:lineRule="exact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מאמרים שהתקבלו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לפירסום</w:t>
      </w:r>
      <w:proofErr w:type="spellEnd"/>
      <w:r>
        <w:rPr>
          <w:rFonts w:cs="David" w:hint="cs"/>
          <w:b/>
          <w:bCs/>
          <w:sz w:val="28"/>
          <w:szCs w:val="28"/>
          <w:rtl/>
        </w:rPr>
        <w:t>:</w:t>
      </w:r>
    </w:p>
    <w:p w:rsidR="00A85788" w:rsidRPr="007A4DCA" w:rsidRDefault="00A85788" w:rsidP="00317072">
      <w:pPr>
        <w:spacing w:line="400" w:lineRule="exact"/>
        <w:rPr>
          <w:rFonts w:cs="Times New Roman"/>
          <w:b/>
          <w:bCs/>
          <w:sz w:val="26"/>
          <w:szCs w:val="26"/>
          <w:rtl/>
        </w:rPr>
      </w:pPr>
    </w:p>
    <w:p w:rsidR="00BE02F1" w:rsidRDefault="00C1735B" w:rsidP="00C1735B">
      <w:pPr>
        <w:spacing w:line="400" w:lineRule="exact"/>
        <w:rPr>
          <w:i/>
          <w:iCs/>
          <w:sz w:val="26"/>
          <w:szCs w:val="26"/>
        </w:rPr>
      </w:pPr>
      <w:proofErr w:type="gramStart"/>
      <w:r>
        <w:rPr>
          <w:sz w:val="26"/>
          <w:szCs w:val="26"/>
        </w:rPr>
        <w:t xml:space="preserve">“The Knowledgeable and Weak in </w:t>
      </w:r>
      <w:r w:rsidR="002246E2" w:rsidRPr="00BE02F1">
        <w:rPr>
          <w:sz w:val="26"/>
          <w:szCs w:val="26"/>
        </w:rPr>
        <w:t>I Corinthians and Rabbinic Literature</w:t>
      </w:r>
      <w:r w:rsidR="002246E2">
        <w:rPr>
          <w:sz w:val="26"/>
          <w:szCs w:val="26"/>
        </w:rPr>
        <w:t xml:space="preserve">”, </w:t>
      </w:r>
      <w:r w:rsidR="002246E2" w:rsidRPr="00BE02F1">
        <w:rPr>
          <w:i/>
          <w:iCs/>
          <w:sz w:val="26"/>
          <w:szCs w:val="26"/>
        </w:rPr>
        <w:t xml:space="preserve">Jubilee Volume in Honor of </w:t>
      </w:r>
      <w:r>
        <w:rPr>
          <w:i/>
          <w:iCs/>
          <w:sz w:val="26"/>
          <w:szCs w:val="26"/>
        </w:rPr>
        <w:t xml:space="preserve">Steven </w:t>
      </w:r>
      <w:proofErr w:type="spellStart"/>
      <w:r>
        <w:rPr>
          <w:i/>
          <w:iCs/>
          <w:sz w:val="26"/>
          <w:szCs w:val="26"/>
        </w:rPr>
        <w:t>Fraade</w:t>
      </w:r>
      <w:proofErr w:type="spellEnd"/>
      <w:r w:rsidR="00D13FD2">
        <w:rPr>
          <w:i/>
          <w:iCs/>
          <w:sz w:val="26"/>
          <w:szCs w:val="26"/>
        </w:rPr>
        <w:t>.</w:t>
      </w:r>
      <w:proofErr w:type="gramEnd"/>
    </w:p>
    <w:p w:rsidR="00D13FD2" w:rsidRDefault="00D13FD2" w:rsidP="00C1735B">
      <w:pPr>
        <w:spacing w:line="400" w:lineRule="exact"/>
        <w:rPr>
          <w:i/>
          <w:iCs/>
          <w:sz w:val="26"/>
          <w:szCs w:val="26"/>
        </w:rPr>
      </w:pPr>
    </w:p>
    <w:p w:rsidR="00D13FD2" w:rsidRPr="00402936" w:rsidRDefault="00402936" w:rsidP="00402936">
      <w:pPr>
        <w:bidi/>
        <w:spacing w:line="400" w:lineRule="exact"/>
        <w:rPr>
          <w:rFonts w:ascii="David" w:hAnsi="David" w:cs="David"/>
          <w:sz w:val="28"/>
          <w:szCs w:val="28"/>
          <w:rtl/>
          <w:lang w:val="el-GR"/>
        </w:rPr>
      </w:pPr>
      <w:r w:rsidRPr="00402936">
        <w:rPr>
          <w:rFonts w:ascii="David" w:hAnsi="David" w:cs="David"/>
          <w:sz w:val="28"/>
          <w:szCs w:val="28"/>
          <w:rtl/>
        </w:rPr>
        <w:t xml:space="preserve">"שלמא </w:t>
      </w:r>
      <w:proofErr w:type="spellStart"/>
      <w:r w:rsidRPr="00402936">
        <w:rPr>
          <w:rFonts w:ascii="David" w:hAnsi="David" w:cs="David"/>
          <w:sz w:val="28"/>
          <w:szCs w:val="28"/>
          <w:rtl/>
        </w:rPr>
        <w:t>לילתא</w:t>
      </w:r>
      <w:proofErr w:type="spellEnd"/>
      <w:r w:rsidRPr="00402936">
        <w:rPr>
          <w:rFonts w:ascii="David" w:hAnsi="David" w:cs="David"/>
          <w:sz w:val="28"/>
          <w:szCs w:val="28"/>
          <w:rtl/>
        </w:rPr>
        <w:t xml:space="preserve">": האם איסור קול </w:t>
      </w:r>
      <w:proofErr w:type="spellStart"/>
      <w:r w:rsidRPr="00402936">
        <w:rPr>
          <w:rFonts w:ascii="David" w:hAnsi="David" w:cs="David"/>
          <w:sz w:val="28"/>
          <w:szCs w:val="28"/>
          <w:rtl/>
        </w:rPr>
        <w:t>אשה</w:t>
      </w:r>
      <w:proofErr w:type="spellEnd"/>
      <w:r w:rsidRPr="00402936">
        <w:rPr>
          <w:rFonts w:ascii="David" w:hAnsi="David" w:cs="David"/>
          <w:sz w:val="28"/>
          <w:szCs w:val="28"/>
          <w:rtl/>
        </w:rPr>
        <w:t xml:space="preserve"> מוזכר בבבלי קידושין ע ע"א-ע"ב?</w:t>
      </w:r>
      <w:r w:rsidRPr="00402936">
        <w:rPr>
          <w:rFonts w:ascii="David" w:hAnsi="David" w:cs="David"/>
          <w:sz w:val="28"/>
          <w:szCs w:val="28"/>
          <w:rtl/>
          <w:lang w:val="el-GR"/>
        </w:rPr>
        <w:t xml:space="preserve">, </w:t>
      </w:r>
      <w:proofErr w:type="spellStart"/>
      <w:r w:rsidRPr="00402936">
        <w:rPr>
          <w:rFonts w:ascii="David" w:hAnsi="David" w:cs="David"/>
          <w:sz w:val="28"/>
          <w:szCs w:val="28"/>
          <w:rtl/>
          <w:lang w:val="el-GR"/>
        </w:rPr>
        <w:t>סידרא</w:t>
      </w:r>
      <w:proofErr w:type="spellEnd"/>
      <w:r w:rsidRPr="00402936">
        <w:rPr>
          <w:rFonts w:ascii="David" w:hAnsi="David" w:cs="David"/>
          <w:sz w:val="28"/>
          <w:szCs w:val="28"/>
          <w:rtl/>
          <w:lang w:val="el-GR"/>
        </w:rPr>
        <w:t>.</w:t>
      </w:r>
    </w:p>
    <w:p w:rsidR="00953881" w:rsidRDefault="00953881" w:rsidP="00317072">
      <w:pPr>
        <w:spacing w:line="400" w:lineRule="exact"/>
        <w:jc w:val="both"/>
      </w:pPr>
    </w:p>
    <w:p w:rsidR="006977F3" w:rsidRDefault="006977F3" w:rsidP="006977F3">
      <w:pPr>
        <w:spacing w:line="400" w:lineRule="exact"/>
        <w:jc w:val="both"/>
      </w:pPr>
      <w:proofErr w:type="gramStart"/>
      <w:r w:rsidRPr="00A32FCE">
        <w:rPr>
          <w:rFonts w:cs="Times New Roman"/>
          <w:sz w:val="26"/>
          <w:szCs w:val="26"/>
        </w:rPr>
        <w:lastRenderedPageBreak/>
        <w:t xml:space="preserve">“Methodological Pitfalls in the Identification of the </w:t>
      </w:r>
      <w:proofErr w:type="spellStart"/>
      <w:r w:rsidRPr="00A32FCE">
        <w:rPr>
          <w:rFonts w:cs="Times New Roman"/>
          <w:i/>
          <w:iCs/>
          <w:sz w:val="26"/>
          <w:szCs w:val="26"/>
        </w:rPr>
        <w:t>kos</w:t>
      </w:r>
      <w:proofErr w:type="spellEnd"/>
      <w:r w:rsidRPr="00A32FCE">
        <w:rPr>
          <w:rFonts w:cs="Times New Roman"/>
          <w:i/>
          <w:iCs/>
          <w:sz w:val="26"/>
          <w:szCs w:val="26"/>
        </w:rPr>
        <w:t xml:space="preserve"> </w:t>
      </w:r>
      <w:proofErr w:type="spellStart"/>
      <w:r w:rsidRPr="00A32FCE">
        <w:rPr>
          <w:rFonts w:cs="Times New Roman"/>
          <w:i/>
          <w:iCs/>
          <w:sz w:val="26"/>
          <w:szCs w:val="26"/>
        </w:rPr>
        <w:t>shel</w:t>
      </w:r>
      <w:proofErr w:type="spellEnd"/>
      <w:r w:rsidRPr="00A32FCE">
        <w:rPr>
          <w:rFonts w:cs="Times New Roman"/>
          <w:i/>
          <w:iCs/>
          <w:sz w:val="26"/>
          <w:szCs w:val="26"/>
        </w:rPr>
        <w:t xml:space="preserve"> </w:t>
      </w:r>
      <w:proofErr w:type="spellStart"/>
      <w:r w:rsidRPr="00A32FCE">
        <w:rPr>
          <w:rFonts w:cs="Times New Roman"/>
          <w:i/>
          <w:iCs/>
          <w:sz w:val="26"/>
          <w:szCs w:val="26"/>
        </w:rPr>
        <w:t>iqarin</w:t>
      </w:r>
      <w:proofErr w:type="spellEnd"/>
      <w:r w:rsidRPr="00A32FCE">
        <w:rPr>
          <w:rFonts w:cs="Times New Roman"/>
          <w:i/>
          <w:iCs/>
          <w:sz w:val="26"/>
          <w:szCs w:val="26"/>
        </w:rPr>
        <w:t>”</w:t>
      </w:r>
      <w:r w:rsidRPr="00A32FCE">
        <w:rPr>
          <w:rFonts w:cs="Times New Roman"/>
          <w:sz w:val="26"/>
          <w:szCs w:val="26"/>
        </w:rPr>
        <w:t xml:space="preserve">, </w:t>
      </w:r>
      <w:r w:rsidRPr="006977F3">
        <w:rPr>
          <w:rFonts w:cs="Times New Roman"/>
          <w:i/>
          <w:iCs/>
          <w:sz w:val="26"/>
          <w:szCs w:val="26"/>
        </w:rPr>
        <w:t>Late Antique – Early Byzantine Pharmacology</w:t>
      </w:r>
      <w:r>
        <w:rPr>
          <w:rFonts w:cs="Times New Roman"/>
          <w:sz w:val="26"/>
          <w:szCs w:val="26"/>
        </w:rPr>
        <w:t>.</w:t>
      </w:r>
      <w:proofErr w:type="gramEnd"/>
    </w:p>
    <w:p w:rsidR="006977F3" w:rsidRDefault="006977F3" w:rsidP="00317072">
      <w:pPr>
        <w:spacing w:line="400" w:lineRule="exact"/>
        <w:jc w:val="both"/>
      </w:pPr>
    </w:p>
    <w:p w:rsidR="00917056" w:rsidRDefault="00917056" w:rsidP="00317072">
      <w:pPr>
        <w:bidi/>
        <w:spacing w:line="400" w:lineRule="exact"/>
        <w:jc w:val="both"/>
        <w:rPr>
          <w:rFonts w:cs="David" w:hint="cs"/>
          <w:b/>
          <w:bCs/>
          <w:sz w:val="22"/>
          <w:szCs w:val="28"/>
          <w:rtl/>
        </w:rPr>
      </w:pPr>
      <w:r>
        <w:rPr>
          <w:rFonts w:cs="David" w:hint="cs"/>
          <w:b/>
          <w:bCs/>
          <w:sz w:val="22"/>
          <w:szCs w:val="28"/>
          <w:rtl/>
        </w:rPr>
        <w:t>השתתפות בכנסים:</w:t>
      </w:r>
    </w:p>
    <w:p w:rsidR="00D72798" w:rsidRDefault="00D72798" w:rsidP="00317072">
      <w:pPr>
        <w:bidi/>
        <w:spacing w:line="400" w:lineRule="exact"/>
        <w:jc w:val="both"/>
        <w:rPr>
          <w:rFonts w:cs="David" w:hint="cs"/>
          <w:sz w:val="22"/>
          <w:szCs w:val="28"/>
          <w:rtl/>
        </w:rPr>
      </w:pPr>
    </w:p>
    <w:p w:rsidR="00D72798" w:rsidRDefault="00D72798" w:rsidP="00317072">
      <w:pPr>
        <w:bidi/>
        <w:spacing w:line="400" w:lineRule="exact"/>
        <w:jc w:val="both"/>
        <w:rPr>
          <w:rFonts w:cs="David" w:hint="cs"/>
          <w:sz w:val="22"/>
          <w:szCs w:val="28"/>
          <w:rtl/>
        </w:rPr>
      </w:pPr>
      <w:r>
        <w:rPr>
          <w:rFonts w:cs="David" w:hint="cs"/>
          <w:sz w:val="22"/>
          <w:szCs w:val="28"/>
          <w:rtl/>
        </w:rPr>
        <w:t>"</w:t>
      </w:r>
      <w:proofErr w:type="spellStart"/>
      <w:r>
        <w:rPr>
          <w:rFonts w:cs="David" w:hint="cs"/>
          <w:sz w:val="22"/>
          <w:szCs w:val="28"/>
          <w:rtl/>
        </w:rPr>
        <w:t>גילגולה</w:t>
      </w:r>
      <w:proofErr w:type="spellEnd"/>
      <w:r>
        <w:rPr>
          <w:rFonts w:cs="David" w:hint="cs"/>
          <w:sz w:val="22"/>
          <w:szCs w:val="28"/>
          <w:rtl/>
        </w:rPr>
        <w:t xml:space="preserve"> של מסורת: סוגיית מותם של תלמידי רבי עקיבא", הקונגרס השלשה עשר ללימודי היהדות, ירושלים, תשס"א.</w:t>
      </w:r>
    </w:p>
    <w:p w:rsidR="00D72798" w:rsidRDefault="00D72798" w:rsidP="00317072">
      <w:pPr>
        <w:bidi/>
        <w:spacing w:line="400" w:lineRule="exact"/>
        <w:jc w:val="right"/>
        <w:rPr>
          <w:rFonts w:cs="David" w:hint="cs"/>
          <w:sz w:val="24"/>
          <w:szCs w:val="24"/>
          <w:rtl/>
        </w:rPr>
      </w:pPr>
    </w:p>
    <w:p w:rsidR="00D72798" w:rsidRPr="002D6BC7" w:rsidRDefault="00D72798" w:rsidP="00317072">
      <w:pPr>
        <w:pStyle w:val="a6"/>
        <w:spacing w:line="400" w:lineRule="exact"/>
        <w:jc w:val="left"/>
        <w:rPr>
          <w:rFonts w:hint="cs"/>
          <w:b w:val="0"/>
          <w:bCs w:val="0"/>
          <w:sz w:val="26"/>
          <w:szCs w:val="26"/>
          <w:rtl/>
        </w:rPr>
      </w:pPr>
      <w:r w:rsidRPr="002D6BC7">
        <w:rPr>
          <w:b w:val="0"/>
          <w:bCs w:val="0"/>
          <w:sz w:val="26"/>
          <w:szCs w:val="26"/>
        </w:rPr>
        <w:t xml:space="preserve">“The Curious Case of </w:t>
      </w:r>
      <w:proofErr w:type="spellStart"/>
      <w:r w:rsidRPr="002D6BC7">
        <w:rPr>
          <w:b w:val="0"/>
          <w:bCs w:val="0"/>
          <w:i/>
          <w:iCs/>
          <w:sz w:val="26"/>
          <w:szCs w:val="26"/>
        </w:rPr>
        <w:t>Tefillin</w:t>
      </w:r>
      <w:proofErr w:type="spellEnd"/>
      <w:r w:rsidRPr="002D6BC7">
        <w:rPr>
          <w:b w:val="0"/>
          <w:bCs w:val="0"/>
          <w:sz w:val="26"/>
          <w:szCs w:val="26"/>
        </w:rPr>
        <w:t xml:space="preserve">: A Study in Ritual Blessings”, </w:t>
      </w:r>
      <w:r w:rsidR="002D6BC7">
        <w:rPr>
          <w:b w:val="0"/>
          <w:bCs w:val="0"/>
          <w:sz w:val="26"/>
          <w:szCs w:val="26"/>
        </w:rPr>
        <w:t xml:space="preserve">Thirty-Fifth Annual Conference of the </w:t>
      </w:r>
      <w:r w:rsidRPr="002D6BC7">
        <w:rPr>
          <w:b w:val="0"/>
          <w:bCs w:val="0"/>
          <w:sz w:val="26"/>
          <w:szCs w:val="26"/>
        </w:rPr>
        <w:t xml:space="preserve">Association for Jewish Studies, </w:t>
      </w:r>
      <w:smartTag w:uri="urn:schemas-microsoft-com:office:smarttags" w:element="place">
        <w:smartTag w:uri="urn:schemas-microsoft-com:office:smarttags" w:element="City">
          <w:r w:rsidRPr="002D6BC7">
            <w:rPr>
              <w:b w:val="0"/>
              <w:bCs w:val="0"/>
              <w:sz w:val="26"/>
              <w:szCs w:val="26"/>
            </w:rPr>
            <w:t>Boston</w:t>
          </w:r>
        </w:smartTag>
      </w:smartTag>
      <w:r w:rsidRPr="002D6BC7">
        <w:rPr>
          <w:b w:val="0"/>
          <w:bCs w:val="0"/>
          <w:sz w:val="26"/>
          <w:szCs w:val="26"/>
        </w:rPr>
        <w:t>, December 2003</w:t>
      </w:r>
      <w:r w:rsidR="002246E2">
        <w:rPr>
          <w:b w:val="0"/>
          <w:bCs w:val="0"/>
          <w:sz w:val="26"/>
          <w:szCs w:val="26"/>
        </w:rPr>
        <w:t>.</w:t>
      </w:r>
    </w:p>
    <w:p w:rsidR="002D6BC7" w:rsidRDefault="002D6BC7" w:rsidP="00317072">
      <w:pPr>
        <w:pStyle w:val="a6"/>
        <w:spacing w:line="400" w:lineRule="exact"/>
        <w:jc w:val="left"/>
        <w:rPr>
          <w:b w:val="0"/>
          <w:bCs w:val="0"/>
        </w:rPr>
      </w:pPr>
    </w:p>
    <w:p w:rsidR="002D6BC7" w:rsidRPr="002D6BC7" w:rsidRDefault="002D6BC7" w:rsidP="00317072">
      <w:pPr>
        <w:bidi/>
        <w:spacing w:line="400" w:lineRule="exact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"'</w:t>
      </w:r>
      <w:r w:rsidRPr="002D6BC7">
        <w:rPr>
          <w:rFonts w:cs="David" w:hint="cs"/>
          <w:sz w:val="28"/>
          <w:szCs w:val="28"/>
          <w:rtl/>
        </w:rPr>
        <w:t xml:space="preserve">לאו בברכה </w:t>
      </w:r>
      <w:proofErr w:type="spellStart"/>
      <w:r w:rsidRPr="002D6BC7">
        <w:rPr>
          <w:rFonts w:cs="David" w:hint="cs"/>
          <w:sz w:val="28"/>
          <w:szCs w:val="28"/>
          <w:rtl/>
        </w:rPr>
        <w:t>תליא</w:t>
      </w:r>
      <w:proofErr w:type="spellEnd"/>
      <w:r w:rsidRPr="002D6BC7">
        <w:rPr>
          <w:rFonts w:cs="David" w:hint="cs"/>
          <w:sz w:val="28"/>
          <w:szCs w:val="28"/>
          <w:rtl/>
        </w:rPr>
        <w:t xml:space="preserve"> מילתא</w:t>
      </w:r>
      <w:r>
        <w:rPr>
          <w:rFonts w:cs="David" w:hint="cs"/>
          <w:sz w:val="28"/>
          <w:szCs w:val="28"/>
          <w:rtl/>
        </w:rPr>
        <w:t>'</w:t>
      </w:r>
      <w:r w:rsidRPr="002D6BC7">
        <w:rPr>
          <w:rFonts w:cs="David" w:hint="cs"/>
          <w:sz w:val="28"/>
          <w:szCs w:val="28"/>
          <w:rtl/>
        </w:rPr>
        <w:t xml:space="preserve">: תוספת פרשנית בדפוסי בבלי ברכות </w:t>
      </w:r>
      <w:proofErr w:type="spellStart"/>
      <w:r w:rsidRPr="002D6BC7">
        <w:rPr>
          <w:rFonts w:cs="David" w:hint="cs"/>
          <w:sz w:val="28"/>
          <w:szCs w:val="28"/>
          <w:rtl/>
        </w:rPr>
        <w:t>ופילפול</w:t>
      </w:r>
      <w:proofErr w:type="spellEnd"/>
      <w:r w:rsidRPr="002D6BC7">
        <w:rPr>
          <w:rFonts w:cs="David" w:hint="cs"/>
          <w:sz w:val="28"/>
          <w:szCs w:val="28"/>
          <w:rtl/>
        </w:rPr>
        <w:t xml:space="preserve"> התלוי בה</w:t>
      </w:r>
      <w:r>
        <w:rPr>
          <w:rFonts w:cs="David" w:hint="cs"/>
          <w:sz w:val="28"/>
          <w:szCs w:val="28"/>
          <w:rtl/>
        </w:rPr>
        <w:t>"</w:t>
      </w:r>
      <w:r w:rsidR="004D7185">
        <w:rPr>
          <w:rFonts w:cs="David" w:hint="cs"/>
          <w:sz w:val="28"/>
          <w:szCs w:val="28"/>
          <w:rtl/>
        </w:rPr>
        <w:t>, הכנס השנתי של המחלקה לתלמוד, אוניברסיטת בר-אילן, 10 במאי 2004.</w:t>
      </w:r>
    </w:p>
    <w:p w:rsidR="002D6BC7" w:rsidRPr="002D6BC7" w:rsidRDefault="002D6BC7" w:rsidP="00317072">
      <w:pPr>
        <w:pStyle w:val="a6"/>
        <w:bidi/>
        <w:spacing w:line="400" w:lineRule="exact"/>
        <w:jc w:val="both"/>
        <w:rPr>
          <w:rFonts w:hint="cs"/>
          <w:b w:val="0"/>
          <w:bCs w:val="0"/>
          <w:sz w:val="28"/>
          <w:szCs w:val="28"/>
          <w:rtl/>
        </w:rPr>
      </w:pPr>
    </w:p>
    <w:p w:rsidR="002D6BC7" w:rsidRPr="002D6BC7" w:rsidRDefault="002D6BC7" w:rsidP="00317072">
      <w:pPr>
        <w:pStyle w:val="a6"/>
        <w:bidi/>
        <w:spacing w:line="400" w:lineRule="exact"/>
        <w:jc w:val="left"/>
        <w:rPr>
          <w:rFonts w:hint="cs"/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"שני ענפי נוסח של בבלי ברכות פרק ב'", הקונגרס הארבעה עשר ללימודי היהדות, ירושלים, תשס"ה.</w:t>
      </w:r>
    </w:p>
    <w:p w:rsidR="002D6BC7" w:rsidRDefault="002D6BC7" w:rsidP="00317072">
      <w:pPr>
        <w:pStyle w:val="a6"/>
        <w:spacing w:line="400" w:lineRule="exact"/>
        <w:jc w:val="left"/>
        <w:rPr>
          <w:b w:val="0"/>
          <w:bCs w:val="0"/>
        </w:rPr>
      </w:pPr>
    </w:p>
    <w:p w:rsidR="002D6BC7" w:rsidRDefault="002D6BC7" w:rsidP="00317072">
      <w:pPr>
        <w:spacing w:line="400" w:lineRule="exact"/>
        <w:jc w:val="both"/>
        <w:rPr>
          <w:sz w:val="26"/>
          <w:szCs w:val="26"/>
        </w:rPr>
      </w:pPr>
      <w:r w:rsidRPr="002D6BC7">
        <w:rPr>
          <w:sz w:val="26"/>
          <w:szCs w:val="26"/>
        </w:rPr>
        <w:t xml:space="preserve">“The Staged Redaction of Palestinian Material in </w:t>
      </w:r>
      <w:proofErr w:type="spellStart"/>
      <w:r w:rsidRPr="002D6BC7">
        <w:rPr>
          <w:sz w:val="26"/>
          <w:szCs w:val="26"/>
        </w:rPr>
        <w:t>Bavli</w:t>
      </w:r>
      <w:proofErr w:type="spellEnd"/>
      <w:r w:rsidRPr="002D6BC7">
        <w:rPr>
          <w:sz w:val="26"/>
          <w:szCs w:val="26"/>
        </w:rPr>
        <w:t xml:space="preserve"> Sanhedrin 26a: Historical and Philological Implications”, Thirty-Eighth Annual Conference of the Association for Jewish Studies, </w:t>
      </w:r>
      <w:smartTag w:uri="urn:schemas-microsoft-com:office:smarttags" w:element="place">
        <w:smartTag w:uri="urn:schemas-microsoft-com:office:smarttags" w:element="City">
          <w:r w:rsidRPr="002D6BC7">
            <w:rPr>
              <w:sz w:val="26"/>
              <w:szCs w:val="26"/>
            </w:rPr>
            <w:t>San Diego</w:t>
          </w:r>
        </w:smartTag>
      </w:smartTag>
      <w:r w:rsidRPr="002D6BC7">
        <w:rPr>
          <w:sz w:val="26"/>
          <w:szCs w:val="26"/>
        </w:rPr>
        <w:t>, December, 2006.</w:t>
      </w:r>
    </w:p>
    <w:p w:rsidR="006977F3" w:rsidRDefault="006977F3" w:rsidP="00317072">
      <w:pPr>
        <w:spacing w:line="400" w:lineRule="exact"/>
        <w:jc w:val="both"/>
        <w:rPr>
          <w:sz w:val="26"/>
          <w:szCs w:val="26"/>
        </w:rPr>
      </w:pPr>
    </w:p>
    <w:p w:rsidR="002246E2" w:rsidRDefault="002246E2" w:rsidP="00317072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“The Knowledgeable and the Weak: Rabbinic Parallels to I Corinthians 8:7-13”, Thirty-Ninth Annual Conference of the Association for Jewish Studies,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Toronto</w:t>
          </w:r>
        </w:smartTag>
      </w:smartTag>
      <w:r>
        <w:rPr>
          <w:sz w:val="26"/>
          <w:szCs w:val="26"/>
        </w:rPr>
        <w:t>, December, 2007.</w:t>
      </w:r>
    </w:p>
    <w:p w:rsidR="004C03D9" w:rsidRPr="007F22DD" w:rsidRDefault="004C03D9" w:rsidP="00317072">
      <w:pPr>
        <w:spacing w:line="400" w:lineRule="exact"/>
        <w:jc w:val="both"/>
        <w:rPr>
          <w:rFonts w:cs="Times New Roman"/>
          <w:sz w:val="26"/>
          <w:szCs w:val="26"/>
        </w:rPr>
      </w:pPr>
    </w:p>
    <w:p w:rsidR="007F22DD" w:rsidRPr="007F22DD" w:rsidRDefault="007F22DD" w:rsidP="00317072">
      <w:pPr>
        <w:spacing w:line="400" w:lineRule="exact"/>
        <w:rPr>
          <w:rFonts w:cs="Times New Roman"/>
          <w:sz w:val="26"/>
          <w:szCs w:val="26"/>
        </w:rPr>
      </w:pPr>
      <w:r w:rsidRPr="007F22DD">
        <w:rPr>
          <w:rFonts w:cs="Times New Roman"/>
          <w:sz w:val="26"/>
          <w:szCs w:val="26"/>
        </w:rPr>
        <w:t xml:space="preserve">“The Voice of Women in the Synagogue and </w:t>
      </w:r>
      <w:smartTag w:uri="urn:schemas-microsoft-com:office:smarttags" w:element="PlaceName">
        <w:r w:rsidRPr="007F22DD">
          <w:rPr>
            <w:rFonts w:cs="Times New Roman"/>
            <w:sz w:val="26"/>
            <w:szCs w:val="26"/>
          </w:rPr>
          <w:t>Ancient</w:t>
        </w:r>
      </w:smartTag>
      <w:r w:rsidRPr="007F22DD">
        <w:rPr>
          <w:rFonts w:cs="Times New Roman"/>
          <w:sz w:val="26"/>
          <w:szCs w:val="26"/>
        </w:rPr>
        <w:t xml:space="preserve"> </w:t>
      </w:r>
      <w:smartTag w:uri="urn:schemas-microsoft-com:office:smarttags" w:element="PlaceType">
        <w:r w:rsidRPr="007F22DD">
          <w:rPr>
            <w:rFonts w:cs="Times New Roman"/>
            <w:sz w:val="26"/>
            <w:szCs w:val="26"/>
          </w:rPr>
          <w:t>Church</w:t>
        </w:r>
      </w:smartTag>
      <w:r w:rsidRPr="007F22DD">
        <w:rPr>
          <w:rFonts w:cs="Times New Roman"/>
          <w:sz w:val="26"/>
          <w:szCs w:val="26"/>
        </w:rPr>
        <w:t xml:space="preserve">”, Annual Conference, Department of Talmud, </w:t>
      </w:r>
      <w:smartTag w:uri="urn:schemas-microsoft-com:office:smarttags" w:element="place">
        <w:smartTag w:uri="urn:schemas-microsoft-com:office:smarttags" w:element="PlaceType">
          <w:r w:rsidRPr="007F22DD">
            <w:rPr>
              <w:rFonts w:cs="Times New Roman"/>
              <w:sz w:val="26"/>
              <w:szCs w:val="26"/>
            </w:rPr>
            <w:t>Bar</w:t>
          </w:r>
        </w:smartTag>
        <w:r w:rsidRPr="007F22DD">
          <w:rPr>
            <w:rFonts w:cs="Times New Roman"/>
            <w:sz w:val="26"/>
            <w:szCs w:val="26"/>
          </w:rPr>
          <w:t xml:space="preserve"> </w:t>
        </w:r>
        <w:proofErr w:type="spellStart"/>
        <w:smartTag w:uri="urn:schemas-microsoft-com:office:smarttags" w:element="PlaceName">
          <w:r w:rsidRPr="007F22DD">
            <w:rPr>
              <w:rFonts w:cs="Times New Roman"/>
              <w:sz w:val="26"/>
              <w:szCs w:val="26"/>
            </w:rPr>
            <w:t>Ilan</w:t>
          </w:r>
        </w:smartTag>
        <w:proofErr w:type="spellEnd"/>
        <w:r w:rsidRPr="007F22DD">
          <w:rPr>
            <w:rFonts w:cs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7F22DD">
            <w:rPr>
              <w:rFonts w:cs="Times New Roman"/>
              <w:sz w:val="26"/>
              <w:szCs w:val="26"/>
            </w:rPr>
            <w:t>University</w:t>
          </w:r>
        </w:smartTag>
      </w:smartTag>
      <w:r w:rsidRPr="007F22DD">
        <w:rPr>
          <w:rFonts w:cs="Times New Roman"/>
          <w:sz w:val="26"/>
          <w:szCs w:val="26"/>
        </w:rPr>
        <w:t>, July 7, 2008.</w:t>
      </w:r>
    </w:p>
    <w:p w:rsidR="007F22DD" w:rsidRPr="007F22DD" w:rsidRDefault="007F22DD" w:rsidP="00317072">
      <w:pPr>
        <w:spacing w:line="400" w:lineRule="exact"/>
        <w:jc w:val="both"/>
        <w:rPr>
          <w:rFonts w:cs="Times New Roman"/>
          <w:sz w:val="26"/>
          <w:szCs w:val="26"/>
        </w:rPr>
      </w:pPr>
    </w:p>
    <w:p w:rsidR="007F22DD" w:rsidRDefault="007F22DD" w:rsidP="00317072">
      <w:pPr>
        <w:spacing w:line="400" w:lineRule="exact"/>
        <w:jc w:val="both"/>
        <w:rPr>
          <w:rFonts w:cs="Times New Roman"/>
          <w:sz w:val="26"/>
          <w:szCs w:val="26"/>
        </w:rPr>
      </w:pPr>
      <w:r w:rsidRPr="007F22DD">
        <w:rPr>
          <w:rFonts w:cs="Times New Roman"/>
          <w:sz w:val="26"/>
          <w:szCs w:val="26"/>
        </w:rPr>
        <w:t xml:space="preserve">“’The Mishnah was Taught in the days of Rabbi’”: On the Development of the Terms </w:t>
      </w:r>
      <w:r w:rsidRPr="007F22DD">
        <w:rPr>
          <w:rFonts w:cs="Times New Roman"/>
          <w:i/>
          <w:iCs/>
          <w:sz w:val="26"/>
          <w:szCs w:val="26"/>
        </w:rPr>
        <w:t>Mishnah</w:t>
      </w:r>
      <w:r w:rsidRPr="007F22DD">
        <w:rPr>
          <w:rFonts w:cs="Times New Roman"/>
          <w:sz w:val="26"/>
          <w:szCs w:val="26"/>
        </w:rPr>
        <w:t xml:space="preserve"> and </w:t>
      </w:r>
      <w:r w:rsidRPr="007F22DD">
        <w:rPr>
          <w:rFonts w:cs="Times New Roman"/>
          <w:i/>
          <w:iCs/>
          <w:sz w:val="26"/>
          <w:szCs w:val="26"/>
        </w:rPr>
        <w:t>Talmud</w:t>
      </w:r>
      <w:r w:rsidRPr="007F22DD">
        <w:rPr>
          <w:rFonts w:cs="Times New Roman"/>
          <w:sz w:val="26"/>
          <w:szCs w:val="26"/>
        </w:rPr>
        <w:t xml:space="preserve"> in the </w:t>
      </w:r>
      <w:proofErr w:type="spellStart"/>
      <w:r w:rsidRPr="007F22DD">
        <w:rPr>
          <w:rFonts w:cs="Times New Roman"/>
          <w:sz w:val="26"/>
          <w:szCs w:val="26"/>
        </w:rPr>
        <w:t>Bavli</w:t>
      </w:r>
      <w:proofErr w:type="spellEnd"/>
      <w:r w:rsidRPr="007F22DD">
        <w:rPr>
          <w:rFonts w:cs="Times New Roman"/>
          <w:sz w:val="26"/>
          <w:szCs w:val="26"/>
        </w:rPr>
        <w:t xml:space="preserve"> and </w:t>
      </w:r>
      <w:proofErr w:type="spellStart"/>
      <w:r w:rsidRPr="007F22DD">
        <w:rPr>
          <w:rFonts w:cs="Times New Roman"/>
          <w:sz w:val="26"/>
          <w:szCs w:val="26"/>
        </w:rPr>
        <w:t>Yerushalmi</w:t>
      </w:r>
      <w:proofErr w:type="spellEnd"/>
      <w:r w:rsidRPr="007F22DD">
        <w:rPr>
          <w:rFonts w:cs="Times New Roman"/>
          <w:sz w:val="26"/>
          <w:szCs w:val="26"/>
        </w:rPr>
        <w:t>, 41</w:t>
      </w:r>
      <w:r w:rsidRPr="007F22DD">
        <w:rPr>
          <w:rFonts w:cs="Times New Roman"/>
          <w:sz w:val="26"/>
          <w:szCs w:val="26"/>
          <w:vertAlign w:val="superscript"/>
        </w:rPr>
        <w:t xml:space="preserve">st </w:t>
      </w:r>
      <w:r w:rsidRPr="007F22DD">
        <w:rPr>
          <w:rFonts w:cs="Times New Roman"/>
          <w:sz w:val="26"/>
          <w:szCs w:val="26"/>
        </w:rPr>
        <w:t>Annual Conference of the Association for Jewish Studies, Los Angeles, December, 2009.</w:t>
      </w:r>
    </w:p>
    <w:p w:rsidR="002A40E0" w:rsidRDefault="002A40E0" w:rsidP="00317072">
      <w:pPr>
        <w:spacing w:line="400" w:lineRule="exact"/>
        <w:jc w:val="both"/>
        <w:rPr>
          <w:rFonts w:cs="Times New Roman"/>
          <w:sz w:val="26"/>
          <w:szCs w:val="26"/>
        </w:rPr>
      </w:pPr>
    </w:p>
    <w:p w:rsidR="00A85788" w:rsidRPr="007A4DCA" w:rsidRDefault="00A85788" w:rsidP="00317072">
      <w:pPr>
        <w:spacing w:line="400" w:lineRule="exact"/>
        <w:jc w:val="both"/>
        <w:rPr>
          <w:rFonts w:cs="Times New Roman"/>
          <w:sz w:val="26"/>
          <w:szCs w:val="26"/>
        </w:rPr>
      </w:pPr>
      <w:r w:rsidRPr="007A4DCA">
        <w:rPr>
          <w:rFonts w:cs="Times New Roman"/>
          <w:sz w:val="26"/>
          <w:szCs w:val="26"/>
        </w:rPr>
        <w:lastRenderedPageBreak/>
        <w:t xml:space="preserve">“For </w:t>
      </w:r>
      <w:proofErr w:type="gramStart"/>
      <w:r w:rsidRPr="007A4DCA">
        <w:rPr>
          <w:rFonts w:cs="Times New Roman"/>
          <w:sz w:val="26"/>
          <w:szCs w:val="26"/>
        </w:rPr>
        <w:t>Whom</w:t>
      </w:r>
      <w:proofErr w:type="gramEnd"/>
      <w:r w:rsidRPr="007A4DCA">
        <w:rPr>
          <w:rFonts w:cs="Times New Roman"/>
          <w:sz w:val="26"/>
          <w:szCs w:val="26"/>
        </w:rPr>
        <w:t xml:space="preserve"> is </w:t>
      </w:r>
      <w:proofErr w:type="spellStart"/>
      <w:r w:rsidRPr="007A4DCA">
        <w:rPr>
          <w:rFonts w:cs="Times New Roman"/>
          <w:sz w:val="26"/>
          <w:szCs w:val="26"/>
        </w:rPr>
        <w:t>Sura</w:t>
      </w:r>
      <w:proofErr w:type="spellEnd"/>
      <w:r w:rsidRPr="007A4DCA">
        <w:rPr>
          <w:rFonts w:cs="Times New Roman"/>
          <w:sz w:val="26"/>
          <w:szCs w:val="26"/>
        </w:rPr>
        <w:t xml:space="preserve"> Fun? A </w:t>
      </w:r>
      <w:proofErr w:type="spellStart"/>
      <w:r w:rsidRPr="007A4DCA">
        <w:rPr>
          <w:rFonts w:cs="Times New Roman"/>
          <w:sz w:val="26"/>
          <w:szCs w:val="26"/>
        </w:rPr>
        <w:t>Pumbeditan</w:t>
      </w:r>
      <w:proofErr w:type="spellEnd"/>
      <w:r w:rsidRPr="007A4DCA">
        <w:rPr>
          <w:rFonts w:cs="Times New Roman"/>
          <w:sz w:val="26"/>
          <w:szCs w:val="26"/>
        </w:rPr>
        <w:t xml:space="preserve"> Tale of </w:t>
      </w:r>
      <w:proofErr w:type="spellStart"/>
      <w:r w:rsidRPr="007A4DCA">
        <w:rPr>
          <w:rFonts w:cs="Times New Roman"/>
          <w:sz w:val="26"/>
          <w:szCs w:val="26"/>
        </w:rPr>
        <w:t>Erev</w:t>
      </w:r>
      <w:proofErr w:type="spellEnd"/>
      <w:r w:rsidRPr="007A4DCA">
        <w:rPr>
          <w:rFonts w:cs="Times New Roman"/>
          <w:sz w:val="26"/>
          <w:szCs w:val="26"/>
        </w:rPr>
        <w:t xml:space="preserve"> Yom Kippur in </w:t>
      </w:r>
      <w:proofErr w:type="spellStart"/>
      <w:r w:rsidRPr="007A4DCA">
        <w:rPr>
          <w:rFonts w:cs="Times New Roman"/>
          <w:sz w:val="26"/>
          <w:szCs w:val="26"/>
        </w:rPr>
        <w:t>Sura</w:t>
      </w:r>
      <w:proofErr w:type="spellEnd"/>
      <w:r w:rsidRPr="007A4DCA">
        <w:rPr>
          <w:rFonts w:cs="Times New Roman"/>
          <w:sz w:val="26"/>
          <w:szCs w:val="26"/>
        </w:rPr>
        <w:t>”, 42</w:t>
      </w:r>
      <w:r w:rsidRPr="007A4DCA">
        <w:rPr>
          <w:rFonts w:cs="Times New Roman"/>
          <w:sz w:val="26"/>
          <w:szCs w:val="26"/>
          <w:vertAlign w:val="superscript"/>
        </w:rPr>
        <w:t>nd</w:t>
      </w:r>
      <w:r w:rsidRPr="007A4DCA">
        <w:rPr>
          <w:rFonts w:cs="Times New Roman"/>
          <w:sz w:val="26"/>
          <w:szCs w:val="26"/>
        </w:rPr>
        <w:t xml:space="preserve"> Annual Conference of the Association for Jewish Studies, Boston, December, 2010.</w:t>
      </w:r>
    </w:p>
    <w:p w:rsidR="00A85788" w:rsidRPr="007A4DCA" w:rsidRDefault="00A85788" w:rsidP="00317072">
      <w:pPr>
        <w:spacing w:line="400" w:lineRule="exact"/>
        <w:jc w:val="both"/>
        <w:rPr>
          <w:rFonts w:cs="Times New Roman"/>
          <w:sz w:val="26"/>
          <w:szCs w:val="26"/>
        </w:rPr>
      </w:pPr>
    </w:p>
    <w:p w:rsidR="00A85788" w:rsidRDefault="00A85788" w:rsidP="00317072">
      <w:pPr>
        <w:spacing w:line="400" w:lineRule="exact"/>
        <w:jc w:val="both"/>
        <w:rPr>
          <w:rFonts w:cs="Times New Roman"/>
          <w:sz w:val="26"/>
          <w:szCs w:val="26"/>
        </w:rPr>
      </w:pPr>
      <w:r w:rsidRPr="007A4DCA">
        <w:rPr>
          <w:rFonts w:cs="Times New Roman"/>
          <w:sz w:val="26"/>
          <w:szCs w:val="26"/>
        </w:rPr>
        <w:t>“’</w:t>
      </w:r>
      <w:r w:rsidRPr="007A4DCA">
        <w:rPr>
          <w:rFonts w:cs="Times New Roman"/>
          <w:i/>
          <w:iCs/>
          <w:sz w:val="26"/>
          <w:szCs w:val="26"/>
        </w:rPr>
        <w:t>The Voice of a Woman</w:t>
      </w:r>
      <w:r w:rsidRPr="007A4DCA">
        <w:rPr>
          <w:rFonts w:cs="Times New Roman"/>
          <w:sz w:val="26"/>
          <w:szCs w:val="26"/>
        </w:rPr>
        <w:t>’ in I Corinthians and Rabbinic Literature”, Annual Meeting of the Society of Biblical Literature, Pauline Epistles Section, San Francisco,</w:t>
      </w:r>
      <w:r w:rsidR="00C40529">
        <w:rPr>
          <w:rFonts w:cs="Times New Roman"/>
          <w:sz w:val="26"/>
          <w:szCs w:val="26"/>
        </w:rPr>
        <w:t xml:space="preserve"> November,</w:t>
      </w:r>
      <w:r w:rsidRPr="007A4DCA">
        <w:rPr>
          <w:rFonts w:cs="Times New Roman"/>
          <w:sz w:val="26"/>
          <w:szCs w:val="26"/>
        </w:rPr>
        <w:t xml:space="preserve"> 2011.</w:t>
      </w:r>
    </w:p>
    <w:p w:rsidR="00C40529" w:rsidRDefault="00C40529" w:rsidP="00317072">
      <w:pPr>
        <w:spacing w:line="400" w:lineRule="exact"/>
        <w:jc w:val="both"/>
        <w:rPr>
          <w:rFonts w:cs="Times New Roman"/>
          <w:sz w:val="26"/>
          <w:szCs w:val="26"/>
        </w:rPr>
      </w:pPr>
    </w:p>
    <w:p w:rsidR="00C40529" w:rsidRPr="00A32FCE" w:rsidRDefault="00C40529" w:rsidP="00A32FCE">
      <w:pPr>
        <w:spacing w:line="440" w:lineRule="exact"/>
        <w:rPr>
          <w:rFonts w:cs="Times New Roman"/>
          <w:sz w:val="26"/>
          <w:szCs w:val="26"/>
        </w:rPr>
      </w:pPr>
      <w:proofErr w:type="gramStart"/>
      <w:r>
        <w:rPr>
          <w:sz w:val="26"/>
          <w:szCs w:val="26"/>
        </w:rPr>
        <w:t>“</w:t>
      </w:r>
      <w:r w:rsidRPr="001702D6">
        <w:rPr>
          <w:sz w:val="26"/>
          <w:szCs w:val="26"/>
        </w:rPr>
        <w:t xml:space="preserve">Confronting </w:t>
      </w:r>
      <w:proofErr w:type="spellStart"/>
      <w:r w:rsidRPr="001702D6">
        <w:rPr>
          <w:i/>
          <w:iCs/>
          <w:sz w:val="26"/>
          <w:szCs w:val="26"/>
        </w:rPr>
        <w:t>Schismata</w:t>
      </w:r>
      <w:proofErr w:type="spellEnd"/>
      <w:r w:rsidRPr="001702D6">
        <w:rPr>
          <w:sz w:val="26"/>
          <w:szCs w:val="26"/>
        </w:rPr>
        <w:t xml:space="preserve"> and </w:t>
      </w:r>
      <w:proofErr w:type="spellStart"/>
      <w:r w:rsidRPr="001702D6">
        <w:rPr>
          <w:i/>
          <w:iCs/>
          <w:sz w:val="26"/>
          <w:szCs w:val="26"/>
        </w:rPr>
        <w:t>Agudot</w:t>
      </w:r>
      <w:proofErr w:type="spellEnd"/>
      <w:r w:rsidRPr="001702D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1702D6">
        <w:rPr>
          <w:sz w:val="26"/>
          <w:szCs w:val="26"/>
        </w:rPr>
        <w:t xml:space="preserve">The Politics of Authority in I Corinthians and </w:t>
      </w:r>
      <w:r>
        <w:rPr>
          <w:sz w:val="26"/>
          <w:szCs w:val="26"/>
        </w:rPr>
        <w:t>Rabbinic</w:t>
      </w:r>
      <w:r w:rsidRPr="001702D6">
        <w:rPr>
          <w:sz w:val="26"/>
          <w:szCs w:val="26"/>
        </w:rPr>
        <w:t xml:space="preserve"> Literature</w:t>
      </w:r>
      <w:r>
        <w:rPr>
          <w:sz w:val="26"/>
          <w:szCs w:val="26"/>
        </w:rPr>
        <w:t>”, Annual Meet</w:t>
      </w:r>
      <w:r w:rsidRPr="00A32FCE">
        <w:rPr>
          <w:rFonts w:cs="Times New Roman"/>
          <w:sz w:val="26"/>
          <w:szCs w:val="26"/>
        </w:rPr>
        <w:t xml:space="preserve">ing of the Society of Biblical Literature, </w:t>
      </w:r>
      <w:r w:rsidR="00A32FCE" w:rsidRPr="00A32FCE">
        <w:rPr>
          <w:rFonts w:cs="Times New Roman"/>
          <w:sz w:val="26"/>
          <w:szCs w:val="26"/>
        </w:rPr>
        <w:t>Intertextuality in the New Testament Section,</w:t>
      </w:r>
      <w:r w:rsidRPr="00A32FCE">
        <w:rPr>
          <w:rFonts w:cs="Times New Roman"/>
          <w:sz w:val="26"/>
          <w:szCs w:val="26"/>
        </w:rPr>
        <w:t xml:space="preserve"> Chicago, November, 2012.</w:t>
      </w:r>
      <w:proofErr w:type="gramEnd"/>
    </w:p>
    <w:p w:rsidR="00A85788" w:rsidRPr="00A32FCE" w:rsidRDefault="00A85788" w:rsidP="00317072">
      <w:pPr>
        <w:spacing w:line="400" w:lineRule="exact"/>
        <w:jc w:val="both"/>
        <w:rPr>
          <w:rFonts w:cs="Times New Roman"/>
          <w:sz w:val="26"/>
          <w:szCs w:val="26"/>
        </w:rPr>
      </w:pPr>
    </w:p>
    <w:p w:rsidR="00A32FCE" w:rsidRDefault="00A32FCE" w:rsidP="00A32FCE">
      <w:pPr>
        <w:spacing w:line="400" w:lineRule="exact"/>
        <w:jc w:val="both"/>
        <w:rPr>
          <w:rFonts w:cs="Times New Roman"/>
          <w:sz w:val="26"/>
          <w:szCs w:val="26"/>
        </w:rPr>
      </w:pPr>
      <w:r w:rsidRPr="00A32FCE">
        <w:rPr>
          <w:rFonts w:cs="Times New Roman"/>
          <w:sz w:val="26"/>
          <w:szCs w:val="26"/>
        </w:rPr>
        <w:t xml:space="preserve">“Methodological Pitfalls in the Identification of the </w:t>
      </w:r>
      <w:proofErr w:type="spellStart"/>
      <w:r w:rsidRPr="00A32FCE">
        <w:rPr>
          <w:rFonts w:cs="Times New Roman"/>
          <w:i/>
          <w:iCs/>
          <w:sz w:val="26"/>
          <w:szCs w:val="26"/>
        </w:rPr>
        <w:t>kos</w:t>
      </w:r>
      <w:proofErr w:type="spellEnd"/>
      <w:r w:rsidRPr="00A32FCE">
        <w:rPr>
          <w:rFonts w:cs="Times New Roman"/>
          <w:i/>
          <w:iCs/>
          <w:sz w:val="26"/>
          <w:szCs w:val="26"/>
        </w:rPr>
        <w:t xml:space="preserve"> </w:t>
      </w:r>
      <w:proofErr w:type="spellStart"/>
      <w:r w:rsidRPr="00A32FCE">
        <w:rPr>
          <w:rFonts w:cs="Times New Roman"/>
          <w:i/>
          <w:iCs/>
          <w:sz w:val="26"/>
          <w:szCs w:val="26"/>
        </w:rPr>
        <w:t>shel</w:t>
      </w:r>
      <w:proofErr w:type="spellEnd"/>
      <w:r w:rsidRPr="00A32FCE">
        <w:rPr>
          <w:rFonts w:cs="Times New Roman"/>
          <w:i/>
          <w:iCs/>
          <w:sz w:val="26"/>
          <w:szCs w:val="26"/>
        </w:rPr>
        <w:t xml:space="preserve"> </w:t>
      </w:r>
      <w:proofErr w:type="spellStart"/>
      <w:r w:rsidRPr="00A32FCE">
        <w:rPr>
          <w:rFonts w:cs="Times New Roman"/>
          <w:i/>
          <w:iCs/>
          <w:sz w:val="26"/>
          <w:szCs w:val="26"/>
        </w:rPr>
        <w:t>iqarin</w:t>
      </w:r>
      <w:proofErr w:type="spellEnd"/>
      <w:r w:rsidRPr="00A32FCE">
        <w:rPr>
          <w:rFonts w:cs="Times New Roman"/>
          <w:i/>
          <w:iCs/>
          <w:sz w:val="26"/>
          <w:szCs w:val="26"/>
        </w:rPr>
        <w:t>”</w:t>
      </w:r>
      <w:r w:rsidRPr="00A32FCE">
        <w:rPr>
          <w:rFonts w:cs="Times New Roman"/>
          <w:sz w:val="26"/>
          <w:szCs w:val="26"/>
        </w:rPr>
        <w:t>, Late Antique – Early Byzantine Pharmacology and its Reception in the Talmudic Tradition</w:t>
      </w:r>
      <w:r>
        <w:rPr>
          <w:rFonts w:cs="Times New Roman"/>
          <w:sz w:val="26"/>
          <w:szCs w:val="26"/>
        </w:rPr>
        <w:t>, Free University of Berlin, December, 2013.</w:t>
      </w:r>
    </w:p>
    <w:p w:rsidR="00A32FCE" w:rsidRPr="007F22DD" w:rsidRDefault="00A32FCE" w:rsidP="00317072">
      <w:pPr>
        <w:spacing w:line="400" w:lineRule="exact"/>
        <w:jc w:val="both"/>
        <w:rPr>
          <w:rFonts w:cs="Times New Roman"/>
          <w:sz w:val="26"/>
          <w:szCs w:val="26"/>
        </w:rPr>
      </w:pPr>
    </w:p>
    <w:p w:rsidR="004C03D9" w:rsidRDefault="002A40E0" w:rsidP="00C1735B">
      <w:pPr>
        <w:spacing w:line="400" w:lineRule="exact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“Give My Regards to Yalta: Is there </w:t>
      </w:r>
      <w:proofErr w:type="spellStart"/>
      <w:r w:rsidRPr="002A40E0">
        <w:rPr>
          <w:rFonts w:cs="Times New Roman"/>
          <w:i/>
          <w:iCs/>
          <w:sz w:val="26"/>
          <w:szCs w:val="26"/>
        </w:rPr>
        <w:t>Kol</w:t>
      </w:r>
      <w:proofErr w:type="spellEnd"/>
      <w:r w:rsidRPr="002A40E0">
        <w:rPr>
          <w:rFonts w:cs="Times New Roman"/>
          <w:i/>
          <w:iCs/>
          <w:sz w:val="26"/>
          <w:szCs w:val="26"/>
        </w:rPr>
        <w:t xml:space="preserve"> ‘</w:t>
      </w:r>
      <w:proofErr w:type="spellStart"/>
      <w:r w:rsidRPr="002A40E0">
        <w:rPr>
          <w:rFonts w:cs="Times New Roman"/>
          <w:i/>
          <w:iCs/>
          <w:sz w:val="26"/>
          <w:szCs w:val="26"/>
        </w:rPr>
        <w:t>Isha</w:t>
      </w:r>
      <w:proofErr w:type="spellEnd"/>
      <w:r>
        <w:rPr>
          <w:rFonts w:cs="Times New Roman"/>
          <w:sz w:val="26"/>
          <w:szCs w:val="26"/>
        </w:rPr>
        <w:t xml:space="preserve"> in </w:t>
      </w:r>
      <w:proofErr w:type="spellStart"/>
      <w:r>
        <w:rPr>
          <w:rFonts w:cs="Times New Roman"/>
          <w:sz w:val="26"/>
          <w:szCs w:val="26"/>
        </w:rPr>
        <w:t>Bavli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Qiddushin</w:t>
      </w:r>
      <w:proofErr w:type="spellEnd"/>
      <w:r>
        <w:rPr>
          <w:rFonts w:cs="Times New Roman"/>
          <w:sz w:val="26"/>
          <w:szCs w:val="26"/>
        </w:rPr>
        <w:t xml:space="preserve"> 70a?”, 45</w:t>
      </w:r>
      <w:r w:rsidRPr="002A40E0">
        <w:rPr>
          <w:rFonts w:cs="Times New Roman"/>
          <w:sz w:val="26"/>
          <w:szCs w:val="26"/>
          <w:vertAlign w:val="superscript"/>
        </w:rPr>
        <w:t>th</w:t>
      </w:r>
      <w:r>
        <w:rPr>
          <w:rFonts w:cs="Times New Roman"/>
          <w:sz w:val="26"/>
          <w:szCs w:val="26"/>
        </w:rPr>
        <w:t xml:space="preserve"> Annual Conference of the Association for Jewish Studies, Boston, December, 2013.</w:t>
      </w:r>
      <w:proofErr w:type="gramEnd"/>
      <w:r>
        <w:rPr>
          <w:rFonts w:cs="Times New Roman"/>
          <w:sz w:val="26"/>
          <w:szCs w:val="26"/>
        </w:rPr>
        <w:t xml:space="preserve"> </w:t>
      </w:r>
    </w:p>
    <w:p w:rsidR="006977F3" w:rsidRDefault="006977F3" w:rsidP="00C1735B">
      <w:pPr>
        <w:spacing w:line="400" w:lineRule="exact"/>
        <w:jc w:val="both"/>
        <w:rPr>
          <w:rFonts w:cs="Times New Roman"/>
          <w:sz w:val="26"/>
          <w:szCs w:val="26"/>
        </w:rPr>
      </w:pPr>
    </w:p>
    <w:p w:rsidR="00C40529" w:rsidRPr="00C40529" w:rsidRDefault="00A32FCE" w:rsidP="00C1735B">
      <w:pPr>
        <w:spacing w:line="400" w:lineRule="exac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“Paul’s First Epistle to the Corinthians </w:t>
      </w:r>
      <w:proofErr w:type="gramStart"/>
      <w:r>
        <w:rPr>
          <w:rFonts w:cs="Times New Roman"/>
          <w:sz w:val="26"/>
          <w:szCs w:val="26"/>
        </w:rPr>
        <w:t>Through</w:t>
      </w:r>
      <w:proofErr w:type="gramEnd"/>
      <w:r>
        <w:rPr>
          <w:rFonts w:cs="Times New Roman"/>
          <w:sz w:val="26"/>
          <w:szCs w:val="26"/>
        </w:rPr>
        <w:t xml:space="preserve"> the Lens of Rabbinic Literature”, American Jewish University, June, 2014.</w:t>
      </w:r>
    </w:p>
    <w:p w:rsidR="00A32FCE" w:rsidRDefault="00A32FCE" w:rsidP="00C1735B">
      <w:pPr>
        <w:spacing w:line="400" w:lineRule="exact"/>
        <w:jc w:val="both"/>
        <w:rPr>
          <w:sz w:val="26"/>
          <w:szCs w:val="26"/>
        </w:rPr>
      </w:pPr>
    </w:p>
    <w:p w:rsidR="00C40529" w:rsidRPr="00C40529" w:rsidRDefault="00C40529" w:rsidP="00C1735B">
      <w:pPr>
        <w:spacing w:line="400" w:lineRule="exact"/>
        <w:jc w:val="both"/>
        <w:rPr>
          <w:rFonts w:cs="Times New Roman" w:hint="cs"/>
          <w:sz w:val="26"/>
          <w:szCs w:val="26"/>
          <w:rtl/>
        </w:rPr>
      </w:pPr>
      <w:r w:rsidRPr="00C40529">
        <w:rPr>
          <w:sz w:val="26"/>
          <w:szCs w:val="26"/>
        </w:rPr>
        <w:t>“Grandchildren/Grandsons are Considered Children/Sons” (</w:t>
      </w:r>
      <w:proofErr w:type="spellStart"/>
      <w:r w:rsidRPr="00C40529">
        <w:rPr>
          <w:sz w:val="26"/>
          <w:szCs w:val="26"/>
        </w:rPr>
        <w:t>Tosefta</w:t>
      </w:r>
      <w:proofErr w:type="spellEnd"/>
      <w:r w:rsidRPr="00C40529">
        <w:rPr>
          <w:sz w:val="26"/>
          <w:szCs w:val="26"/>
        </w:rPr>
        <w:t xml:space="preserve"> </w:t>
      </w:r>
      <w:proofErr w:type="spellStart"/>
      <w:r w:rsidRPr="00C40529">
        <w:rPr>
          <w:sz w:val="26"/>
          <w:szCs w:val="26"/>
        </w:rPr>
        <w:t>Yevamot</w:t>
      </w:r>
      <w:proofErr w:type="spellEnd"/>
      <w:r w:rsidRPr="00C40529">
        <w:rPr>
          <w:sz w:val="26"/>
          <w:szCs w:val="26"/>
        </w:rPr>
        <w:t xml:space="preserve"> 8:4): Gendered and Non-Gendered </w:t>
      </w:r>
      <w:proofErr w:type="spellStart"/>
      <w:r w:rsidRPr="00C40529">
        <w:rPr>
          <w:sz w:val="26"/>
          <w:szCs w:val="26"/>
        </w:rPr>
        <w:t>Amoraic</w:t>
      </w:r>
      <w:proofErr w:type="spellEnd"/>
      <w:r w:rsidRPr="00C40529">
        <w:rPr>
          <w:sz w:val="26"/>
          <w:szCs w:val="26"/>
        </w:rPr>
        <w:t xml:space="preserve"> Readings of a </w:t>
      </w:r>
      <w:proofErr w:type="spellStart"/>
      <w:r w:rsidRPr="00C40529">
        <w:rPr>
          <w:sz w:val="26"/>
          <w:szCs w:val="26"/>
        </w:rPr>
        <w:t>Tannaitic</w:t>
      </w:r>
      <w:proofErr w:type="spellEnd"/>
      <w:r w:rsidRPr="00C40529">
        <w:rPr>
          <w:sz w:val="26"/>
          <w:szCs w:val="26"/>
        </w:rPr>
        <w:t xml:space="preserve"> Tradition</w:t>
      </w:r>
      <w:r>
        <w:rPr>
          <w:sz w:val="26"/>
          <w:szCs w:val="26"/>
        </w:rPr>
        <w:t>”, 46</w:t>
      </w:r>
      <w:r w:rsidRPr="00C4052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Annual Conference of the Association for Jewish Studies, Baltimore, December, 2014.</w:t>
      </w:r>
    </w:p>
    <w:sectPr w:rsidR="00C40529" w:rsidRPr="00C40529" w:rsidSect="007A4DCA">
      <w:headerReference w:type="default" r:id="rId9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3F" w:rsidRDefault="00C6773F" w:rsidP="007A4DCA">
      <w:r>
        <w:separator/>
      </w:r>
    </w:p>
  </w:endnote>
  <w:endnote w:type="continuationSeparator" w:id="0">
    <w:p w:rsidR="00C6773F" w:rsidRDefault="00C6773F" w:rsidP="007A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3F" w:rsidRDefault="00C6773F" w:rsidP="007A4DCA">
      <w:r>
        <w:separator/>
      </w:r>
    </w:p>
  </w:footnote>
  <w:footnote w:type="continuationSeparator" w:id="0">
    <w:p w:rsidR="00C6773F" w:rsidRDefault="00C6773F" w:rsidP="007A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CA" w:rsidRDefault="007A4DCA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AC7398">
      <w:rPr>
        <w:noProof/>
      </w:rPr>
      <w:t>4</w:t>
    </w:r>
    <w:r>
      <w:rPr>
        <w:noProof/>
      </w:rPr>
      <w:fldChar w:fldCharType="end"/>
    </w:r>
  </w:p>
  <w:p w:rsidR="007A4DCA" w:rsidRDefault="007A4D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B"/>
    <w:rsid w:val="00062B56"/>
    <w:rsid w:val="000C75B3"/>
    <w:rsid w:val="00104401"/>
    <w:rsid w:val="001176A5"/>
    <w:rsid w:val="00181C77"/>
    <w:rsid w:val="00220460"/>
    <w:rsid w:val="002246E2"/>
    <w:rsid w:val="002423D6"/>
    <w:rsid w:val="00295E2E"/>
    <w:rsid w:val="002A40E0"/>
    <w:rsid w:val="002D2CDD"/>
    <w:rsid w:val="002D6BC7"/>
    <w:rsid w:val="002F7D93"/>
    <w:rsid w:val="00317072"/>
    <w:rsid w:val="0038387B"/>
    <w:rsid w:val="003A3BB0"/>
    <w:rsid w:val="00402936"/>
    <w:rsid w:val="00411F56"/>
    <w:rsid w:val="00484997"/>
    <w:rsid w:val="004C03D9"/>
    <w:rsid w:val="004D7185"/>
    <w:rsid w:val="00660CA5"/>
    <w:rsid w:val="00665E39"/>
    <w:rsid w:val="006977F3"/>
    <w:rsid w:val="006D133F"/>
    <w:rsid w:val="00712072"/>
    <w:rsid w:val="00752918"/>
    <w:rsid w:val="00775AA1"/>
    <w:rsid w:val="007A4DCA"/>
    <w:rsid w:val="007D697B"/>
    <w:rsid w:val="007F22DD"/>
    <w:rsid w:val="0080122D"/>
    <w:rsid w:val="008625A4"/>
    <w:rsid w:val="008C5392"/>
    <w:rsid w:val="00917056"/>
    <w:rsid w:val="0095045B"/>
    <w:rsid w:val="00953881"/>
    <w:rsid w:val="00A32FCE"/>
    <w:rsid w:val="00A568B5"/>
    <w:rsid w:val="00A85788"/>
    <w:rsid w:val="00AA77B6"/>
    <w:rsid w:val="00AC0926"/>
    <w:rsid w:val="00AC7398"/>
    <w:rsid w:val="00B54EC4"/>
    <w:rsid w:val="00B56582"/>
    <w:rsid w:val="00BC355F"/>
    <w:rsid w:val="00BE02F1"/>
    <w:rsid w:val="00BE5A23"/>
    <w:rsid w:val="00C1735B"/>
    <w:rsid w:val="00C40529"/>
    <w:rsid w:val="00C40D02"/>
    <w:rsid w:val="00C6773F"/>
    <w:rsid w:val="00CB5DFB"/>
    <w:rsid w:val="00D13FD2"/>
    <w:rsid w:val="00D72798"/>
    <w:rsid w:val="00D77EB6"/>
    <w:rsid w:val="00D814E4"/>
    <w:rsid w:val="00DD0863"/>
    <w:rsid w:val="00DE554C"/>
    <w:rsid w:val="00E67548"/>
    <w:rsid w:val="00E83301"/>
    <w:rsid w:val="00E9007A"/>
    <w:rsid w:val="00EC2F7E"/>
    <w:rsid w:val="00EC60F9"/>
    <w:rsid w:val="00F13738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he-IL"/>
    </w:rPr>
  </w:style>
  <w:style w:type="paragraph" w:styleId="1">
    <w:name w:val="heading 1"/>
    <w:basedOn w:val="a"/>
    <w:next w:val="a"/>
    <w:qFormat/>
    <w:pPr>
      <w:keepNext/>
      <w:bidi/>
      <w:jc w:val="center"/>
      <w:outlineLvl w:val="0"/>
    </w:pPr>
    <w:rPr>
      <w:rFonts w:cs="David"/>
      <w:b/>
      <w:bCs/>
      <w:szCs w:val="28"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rFonts w:cs="David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516"/>
        <w:tab w:val="left" w:pos="5052"/>
      </w:tabs>
      <w:outlineLvl w:val="2"/>
    </w:pPr>
    <w:rPr>
      <w:szCs w:val="26"/>
    </w:rPr>
  </w:style>
  <w:style w:type="paragraph" w:styleId="4">
    <w:name w:val="heading 4"/>
    <w:basedOn w:val="a"/>
    <w:next w:val="a"/>
    <w:qFormat/>
    <w:pPr>
      <w:keepNext/>
      <w:bidi/>
      <w:spacing w:line="300" w:lineRule="exact"/>
      <w:jc w:val="both"/>
      <w:outlineLvl w:val="3"/>
    </w:pPr>
    <w:rPr>
      <w:rFonts w:cs="David"/>
      <w:sz w:val="2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bidi/>
      <w:jc w:val="center"/>
    </w:pPr>
    <w:rPr>
      <w:rFonts w:cs="David"/>
      <w:b/>
      <w:bCs/>
      <w:szCs w:val="28"/>
    </w:rPr>
  </w:style>
  <w:style w:type="paragraph" w:styleId="a4">
    <w:name w:val="Block Text"/>
    <w:basedOn w:val="a"/>
    <w:pPr>
      <w:bidi/>
      <w:spacing w:line="300" w:lineRule="exact"/>
      <w:ind w:left="2160"/>
    </w:pPr>
    <w:rPr>
      <w:rFonts w:cs="David"/>
      <w:szCs w:val="28"/>
    </w:rPr>
  </w:style>
  <w:style w:type="paragraph" w:styleId="a5">
    <w:name w:val="Body Text Indent"/>
    <w:basedOn w:val="a"/>
    <w:pPr>
      <w:bidi/>
      <w:spacing w:line="360" w:lineRule="exact"/>
      <w:ind w:left="2160"/>
    </w:pPr>
    <w:rPr>
      <w:rFonts w:cs="David"/>
      <w:szCs w:val="28"/>
    </w:rPr>
  </w:style>
  <w:style w:type="paragraph" w:styleId="a6">
    <w:name w:val="Body Text"/>
    <w:basedOn w:val="a"/>
    <w:pPr>
      <w:spacing w:line="360" w:lineRule="exact"/>
      <w:jc w:val="right"/>
    </w:pPr>
    <w:rPr>
      <w:rFonts w:cs="David"/>
      <w:b/>
      <w:bCs/>
      <w:sz w:val="24"/>
      <w:szCs w:val="24"/>
    </w:rPr>
  </w:style>
  <w:style w:type="character" w:styleId="Hyperlink">
    <w:name w:val="Hyperlink"/>
    <w:rsid w:val="00F1373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7A4DCA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link w:val="a7"/>
    <w:uiPriority w:val="99"/>
    <w:rsid w:val="007A4DCA"/>
    <w:rPr>
      <w:lang w:eastAsia="he-IL"/>
    </w:rPr>
  </w:style>
  <w:style w:type="paragraph" w:styleId="a9">
    <w:name w:val="footer"/>
    <w:basedOn w:val="a"/>
    <w:link w:val="aa"/>
    <w:rsid w:val="007A4DCA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link w:val="a9"/>
    <w:rsid w:val="007A4DCA"/>
    <w:rPr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he-IL"/>
    </w:rPr>
  </w:style>
  <w:style w:type="paragraph" w:styleId="1">
    <w:name w:val="heading 1"/>
    <w:basedOn w:val="a"/>
    <w:next w:val="a"/>
    <w:qFormat/>
    <w:pPr>
      <w:keepNext/>
      <w:bidi/>
      <w:jc w:val="center"/>
      <w:outlineLvl w:val="0"/>
    </w:pPr>
    <w:rPr>
      <w:rFonts w:cs="David"/>
      <w:b/>
      <w:bCs/>
      <w:szCs w:val="28"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rFonts w:cs="David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516"/>
        <w:tab w:val="left" w:pos="5052"/>
      </w:tabs>
      <w:outlineLvl w:val="2"/>
    </w:pPr>
    <w:rPr>
      <w:szCs w:val="26"/>
    </w:rPr>
  </w:style>
  <w:style w:type="paragraph" w:styleId="4">
    <w:name w:val="heading 4"/>
    <w:basedOn w:val="a"/>
    <w:next w:val="a"/>
    <w:qFormat/>
    <w:pPr>
      <w:keepNext/>
      <w:bidi/>
      <w:spacing w:line="300" w:lineRule="exact"/>
      <w:jc w:val="both"/>
      <w:outlineLvl w:val="3"/>
    </w:pPr>
    <w:rPr>
      <w:rFonts w:cs="David"/>
      <w:sz w:val="2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bidi/>
      <w:jc w:val="center"/>
    </w:pPr>
    <w:rPr>
      <w:rFonts w:cs="David"/>
      <w:b/>
      <w:bCs/>
      <w:szCs w:val="28"/>
    </w:rPr>
  </w:style>
  <w:style w:type="paragraph" w:styleId="a4">
    <w:name w:val="Block Text"/>
    <w:basedOn w:val="a"/>
    <w:pPr>
      <w:bidi/>
      <w:spacing w:line="300" w:lineRule="exact"/>
      <w:ind w:left="2160"/>
    </w:pPr>
    <w:rPr>
      <w:rFonts w:cs="David"/>
      <w:szCs w:val="28"/>
    </w:rPr>
  </w:style>
  <w:style w:type="paragraph" w:styleId="a5">
    <w:name w:val="Body Text Indent"/>
    <w:basedOn w:val="a"/>
    <w:pPr>
      <w:bidi/>
      <w:spacing w:line="360" w:lineRule="exact"/>
      <w:ind w:left="2160"/>
    </w:pPr>
    <w:rPr>
      <w:rFonts w:cs="David"/>
      <w:szCs w:val="28"/>
    </w:rPr>
  </w:style>
  <w:style w:type="paragraph" w:styleId="a6">
    <w:name w:val="Body Text"/>
    <w:basedOn w:val="a"/>
    <w:pPr>
      <w:spacing w:line="360" w:lineRule="exact"/>
      <w:jc w:val="right"/>
    </w:pPr>
    <w:rPr>
      <w:rFonts w:cs="David"/>
      <w:b/>
      <w:bCs/>
      <w:sz w:val="24"/>
      <w:szCs w:val="24"/>
    </w:rPr>
  </w:style>
  <w:style w:type="character" w:styleId="Hyperlink">
    <w:name w:val="Hyperlink"/>
    <w:rsid w:val="00F1373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7A4DCA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link w:val="a7"/>
    <w:uiPriority w:val="99"/>
    <w:rsid w:val="007A4DCA"/>
    <w:rPr>
      <w:lang w:eastAsia="he-IL"/>
    </w:rPr>
  </w:style>
  <w:style w:type="paragraph" w:styleId="a9">
    <w:name w:val="footer"/>
    <w:basedOn w:val="a"/>
    <w:link w:val="aa"/>
    <w:rsid w:val="007A4DCA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link w:val="a9"/>
    <w:rsid w:val="007A4DCA"/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ket.com/articles/00300007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7545-22C0-4533-A809-6E81D274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833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כ"ט בסיון תש"ס</vt:lpstr>
      <vt:lpstr>כ"ט בסיון תש"ס</vt:lpstr>
    </vt:vector>
  </TitlesOfParts>
  <Company/>
  <LinksUpToDate>false</LinksUpToDate>
  <CharactersWithSpaces>4989</CharactersWithSpaces>
  <SharedDoc>false</SharedDoc>
  <HLinks>
    <vt:vector size="6" baseType="variant"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http://www.lekket.com/articles/003000074.pdf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כ"ט בסיון תש"ס</dc:title>
  <dc:creator>Aaron Amit</dc:creator>
  <cp:lastModifiedBy>User</cp:lastModifiedBy>
  <cp:revision>3</cp:revision>
  <cp:lastPrinted>2004-01-28T19:49:00Z</cp:lastPrinted>
  <dcterms:created xsi:type="dcterms:W3CDTF">2015-04-19T15:47:00Z</dcterms:created>
  <dcterms:modified xsi:type="dcterms:W3CDTF">2015-04-19T15:53:00Z</dcterms:modified>
</cp:coreProperties>
</file>